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tab/>
      </w: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952625" cy="1343025"/>
                <wp:effectExtent l="19050" t="0" r="9525" b="0"/>
                <wp:docPr id="1" name="图片 1" descr="QQ图片2014092210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QQ图片20140922104244"/>
                        <pic:cNvPicPr>
                          <a:picLocks noChangeAspect="1"/>
                        </pic:cNvPicPr>
                        <pic:nvPr/>
                      </pic:nvPicPr>
                      <pic:blipFill>
                        <a:blip r:embed="rId12"/>
                        <a:stretch/>
                      </pic:blipFill>
                      <pic:spPr bwMode="auto">
                        <a:xfrm>
                          <a:off x="0" y="0"/>
                          <a:ext cx="1952625" cy="13430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3.8pt;height:105.8pt;mso-wrap-distance-left:0.0pt;mso-wrap-distance-top:0.0pt;mso-wrap-distance-right:0.0pt;mso-wrap-distance-bottom:0.0pt;" stroked="f" strokeweight="0.75pt">
                <v:path textboxrect="0,0,0,0"/>
                <v:imagedata r:id="rId12" o:title=""/>
              </v:shape>
            </w:pict>
          </mc:Fallback>
        </mc:AlternateContent>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spacing w:line="360" w:lineRule="auto"/>
        <w:tabs>
          <w:tab w:val="left" w:pos="2505" w:leader="none"/>
        </w:tabs>
        <w:rPr>
          <w:rFonts w:ascii="宋体" w:hAnsi="宋体"/>
          <w:color w:val="auto"/>
          <w:highlight w:val="none"/>
        </w:rPr>
      </w:pPr>
      <w:r>
        <w:rPr>
          <w:rFonts w:ascii="宋体" w:hAnsi="宋体"/>
          <w:color w:val="auto"/>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昆山市政府采购</w:t>
      </w:r>
      <w:r/>
    </w:p>
    <w:p>
      <w:pPr>
        <w:jc w:val="center"/>
        <w:rPr>
          <w:rFonts w:ascii="宋体" w:hAnsi="宋体"/>
          <w:b/>
          <w:bCs/>
          <w:color w:val="auto"/>
          <w:sz w:val="52"/>
          <w:szCs w:val="52"/>
          <w:highlight w:val="none"/>
        </w:rPr>
      </w:pPr>
      <w:r>
        <w:rPr>
          <w:rFonts w:ascii="宋体" w:hAnsi="宋体"/>
          <w:b/>
          <w:bCs/>
          <w:color w:val="auto"/>
          <w:sz w:val="52"/>
          <w:szCs w:val="52"/>
          <w:highlight w:val="none"/>
        </w:rPr>
      </w:r>
      <w:r/>
    </w:p>
    <w:p>
      <w:pPr>
        <w:jc w:val="center"/>
        <w:rPr>
          <w:rFonts w:ascii="宋体" w:hAnsi="宋体"/>
          <w:b/>
          <w:bCs/>
          <w:color w:val="auto"/>
          <w:sz w:val="52"/>
          <w:szCs w:val="52"/>
          <w:highlight w:val="none"/>
        </w:rPr>
      </w:pPr>
      <w:r>
        <w:rPr>
          <w:rFonts w:hint="eastAsia" w:ascii="宋体" w:hAnsi="宋体"/>
          <w:b/>
          <w:bCs/>
          <w:color w:val="auto"/>
          <w:sz w:val="52"/>
          <w:szCs w:val="52"/>
          <w:highlight w:val="none"/>
        </w:rPr>
        <w:t xml:space="preserve"> 竞争性谈判采购文件</w:t>
      </w:r>
      <w:r/>
    </w:p>
    <w:p>
      <w:pPr>
        <w:jc w:val="center"/>
        <w:rPr>
          <w:rFonts w:ascii="宋体" w:hAnsi="宋体"/>
          <w:b/>
          <w:bCs/>
          <w:color w:val="auto"/>
          <w:sz w:val="52"/>
          <w:szCs w:val="52"/>
          <w:highlight w:val="none"/>
        </w:rPr>
      </w:pPr>
      <w:r>
        <w:rPr>
          <w:rFonts w:ascii="宋体" w:hAnsi="宋体"/>
          <w:b/>
          <w:bCs/>
          <w:color w:val="auto"/>
          <w:sz w:val="52"/>
          <w:szCs w:val="52"/>
          <w:highlight w:val="none"/>
        </w:rPr>
        <w:tab/>
      </w:r>
      <w:r/>
    </w:p>
    <w:p>
      <w:pPr>
        <w:spacing w:line="360" w:lineRule="auto"/>
        <w:rPr>
          <w:rFonts w:ascii="宋体" w:hAnsi="宋体"/>
          <w:color w:val="auto"/>
          <w:highlight w:val="none"/>
        </w:rPr>
      </w:pPr>
      <w:r>
        <w:rPr>
          <w:rFonts w:ascii="宋体" w:hAnsi="宋体"/>
          <w:color w:val="auto"/>
          <w:highlight w:val="none"/>
        </w:rPr>
      </w:r>
      <w:r/>
    </w:p>
    <w:p>
      <w:pPr>
        <w:ind w:firstLine="1400"/>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项目编号：JSZC-320583-SZYE-T2025-0050 </w:t>
      </w:r>
      <w:r/>
    </w:p>
    <w:p>
      <w:pPr>
        <w:ind w:left="2796" w:hanging="140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采购内容：</w:t>
      </w:r>
      <w:r>
        <w:rPr>
          <w:rFonts w:hint="eastAsia" w:ascii="宋体" w:hAnsi="宋体"/>
          <w:color w:val="auto"/>
          <w:sz w:val="28"/>
          <w:szCs w:val="28"/>
          <w:highlight w:val="none"/>
          <w:lang w:val="en-US" w:eastAsia="zh-CN"/>
        </w:rPr>
        <w:t xml:space="preserve">江苏省昆山第一中等专业学校教学仪器设备</w:t>
      </w:r>
      <w:r/>
    </w:p>
    <w:p>
      <w:pPr>
        <w:ind w:firstLine="1400"/>
        <w:spacing w:line="36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采购单位：</w:t>
      </w:r>
      <w:r>
        <w:rPr>
          <w:rFonts w:hint="eastAsia" w:ascii="宋体" w:hAnsi="宋体"/>
          <w:color w:val="auto"/>
          <w:sz w:val="28"/>
          <w:szCs w:val="28"/>
          <w:highlight w:val="none"/>
          <w:lang w:val="en-US" w:eastAsia="zh-CN"/>
        </w:rPr>
        <w:t xml:space="preserve">昆山市教育装备与勤工俭学管理中心</w:t>
      </w:r>
      <w:r/>
    </w:p>
    <w:p>
      <w:pPr>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rPr>
          <w:rFonts w:ascii="宋体" w:hAnsi="宋体"/>
          <w:color w:val="auto"/>
          <w:sz w:val="30"/>
          <w:highlight w:val="none"/>
        </w:rPr>
      </w:pPr>
      <w:r>
        <w:rPr>
          <w:rFonts w:ascii="宋体" w:hAnsi="宋体"/>
          <w:color w:val="auto"/>
          <w:sz w:val="30"/>
          <w:highlight w:val="none"/>
        </w:rPr>
      </w:r>
      <w:r/>
    </w:p>
    <w:p>
      <w:pPr>
        <w:jc w:val="center"/>
        <w:rPr>
          <w:rFonts w:ascii="宋体" w:hAnsi="宋体"/>
          <w:color w:val="auto"/>
          <w:sz w:val="30"/>
          <w:highlight w:val="none"/>
        </w:rPr>
      </w:pPr>
      <w:r>
        <w:rPr>
          <w:rFonts w:ascii="宋体" w:hAnsi="宋体"/>
          <w:color w:val="auto"/>
          <w:sz w:val="30"/>
          <w:highlight w:val="none"/>
        </w:rPr>
      </w:r>
      <w:r/>
    </w:p>
    <w:p>
      <w:pPr>
        <w:jc w:val="center"/>
        <w:spacing w:line="360" w:lineRule="auto"/>
        <w:rPr>
          <w:rFonts w:ascii="宋体" w:hAnsi="宋体"/>
          <w:color w:val="auto"/>
          <w:sz w:val="28"/>
          <w:highlight w:val="none"/>
        </w:rPr>
      </w:pPr>
      <w:r>
        <w:rPr>
          <w:rFonts w:hint="eastAsia" w:ascii="宋体" w:hAnsi="宋体"/>
          <w:color w:val="auto"/>
          <w:sz w:val="28"/>
          <w:highlight w:val="none"/>
        </w:rPr>
        <w:t xml:space="preserve">苏州宇恩项目咨询有限公司</w:t>
      </w:r>
      <w:r/>
    </w:p>
    <w:p>
      <w:pPr>
        <w:jc w:val="left"/>
        <w:spacing w:line="360" w:lineRule="auto"/>
        <w:tabs>
          <w:tab w:val="left" w:pos="3324" w:leader="none"/>
          <w:tab w:val="center" w:pos="4216" w:leader="none"/>
        </w:tabs>
        <w:rPr>
          <w:rFonts w:ascii="宋体" w:hAnsi="宋体"/>
          <w:color w:val="auto"/>
          <w:sz w:val="28"/>
          <w:highlight w:val="none"/>
        </w:rPr>
      </w:pPr>
      <w:r>
        <w:rPr>
          <w:rFonts w:hint="eastAsia" w:ascii="宋体" w:hAnsi="宋体"/>
          <w:color w:val="auto"/>
          <w:sz w:val="28"/>
          <w:highlight w:val="none"/>
        </w:rPr>
        <w:tab/>
      </w:r>
      <w:r>
        <w:rPr>
          <w:rFonts w:hint="eastAsia" w:ascii="宋体" w:hAnsi="宋体"/>
          <w:color w:val="auto"/>
          <w:sz w:val="28"/>
          <w:highlight w:val="none"/>
        </w:rPr>
        <w:t xml:space="preserve"> </w:t>
      </w:r>
      <w:r>
        <w:rPr>
          <w:rFonts w:hint="eastAsia" w:ascii="宋体" w:hAnsi="宋体"/>
          <w:color w:val="auto"/>
          <w:sz w:val="28"/>
          <w:highlight w:val="none"/>
        </w:rPr>
        <w:tab/>
      </w:r>
      <w:r>
        <w:rPr>
          <w:rFonts w:hint="eastAsia" w:ascii="宋体" w:hAnsi="宋体"/>
          <w:color w:val="auto"/>
          <w:sz w:val="28"/>
          <w:highlight w:val="none"/>
        </w:rPr>
        <w:t xml:space="preserve">2025年</w:t>
      </w:r>
      <w:r>
        <w:rPr>
          <w:rFonts w:hint="eastAsia" w:ascii="宋体" w:hAnsi="宋体"/>
          <w:color w:val="auto"/>
          <w:sz w:val="28"/>
          <w:highlight w:val="none"/>
          <w:lang w:val="en-US" w:eastAsia="zh-CN"/>
        </w:rPr>
        <w:t xml:space="preserve">10</w:t>
      </w:r>
      <w:r>
        <w:rPr>
          <w:rFonts w:hint="eastAsia" w:ascii="宋体" w:hAnsi="宋体"/>
          <w:color w:val="auto"/>
          <w:sz w:val="28"/>
          <w:highlight w:val="none"/>
        </w:rPr>
        <w:t xml:space="preserve">月</w:t>
      </w:r>
      <w:r/>
    </w:p>
    <w:p>
      <w:pPr>
        <w:jc w:val="left"/>
        <w:widowControl/>
        <w:rPr>
          <w:rFonts w:ascii="宋体" w:hAnsi="宋体"/>
          <w:color w:val="auto"/>
          <w:sz w:val="28"/>
          <w:highlight w:val="none"/>
        </w:rPr>
      </w:pPr>
      <w:r>
        <w:rPr>
          <w:rFonts w:ascii="宋体" w:hAnsi="宋体"/>
          <w:color w:val="auto"/>
          <w:sz w:val="28"/>
          <w:highlight w:val="none"/>
        </w:rPr>
        <w:br w:type="page" w:clear="all"/>
      </w:r>
      <w:r/>
    </w:p>
    <w:p>
      <w:pPr>
        <w:jc w:val="center"/>
        <w:widowControl/>
        <w:rPr>
          <w:rFonts w:ascii="宋体" w:hAnsi="宋体"/>
          <w:b/>
          <w:color w:val="auto"/>
          <w:sz w:val="40"/>
          <w:szCs w:val="32"/>
          <w:highlight w:val="none"/>
        </w:rPr>
      </w:pPr>
      <w:r>
        <w:rPr>
          <w:rFonts w:hint="eastAsia" w:ascii="宋体" w:hAnsi="宋体"/>
          <w:b/>
          <w:color w:val="auto"/>
          <w:sz w:val="40"/>
          <w:szCs w:val="32"/>
          <w:highlight w:val="none"/>
        </w:rPr>
        <w:t xml:space="preserve">目 录</w:t>
      </w:r>
      <w:r/>
    </w:p>
    <w:p>
      <w:pPr>
        <w:jc w:val="center"/>
        <w:widowControl/>
        <w:rPr>
          <w:rFonts w:ascii="宋体" w:hAnsi="宋体"/>
          <w:b/>
          <w:color w:val="auto"/>
          <w:sz w:val="28"/>
          <w:szCs w:val="28"/>
          <w:highlight w:val="none"/>
        </w:rPr>
      </w:pPr>
      <w:r>
        <w:rPr>
          <w:rFonts w:ascii="宋体" w:hAnsi="宋体"/>
          <w:b/>
          <w:color w:val="auto"/>
          <w:sz w:val="28"/>
          <w:szCs w:val="28"/>
          <w:highlight w:val="none"/>
        </w:rPr>
      </w:r>
      <w:r/>
    </w:p>
    <w:p>
      <w:pPr>
        <w:pStyle w:val="766"/>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begin"/>
      </w:r>
      <w:r>
        <w:rPr>
          <w:rFonts w:ascii="宋体" w:hAnsi="宋体"/>
          <w:color w:val="auto"/>
          <w:sz w:val="28"/>
          <w:highlight w:val="none"/>
        </w:rPr>
        <w:instrText xml:space="preserve"> TOC \o "1-2" \h \z \u </w:instrText>
      </w:r>
      <w:r>
        <w:rPr>
          <w:rFonts w:ascii="宋体" w:hAnsi="宋体"/>
          <w:color w:val="auto"/>
          <w:sz w:val="28"/>
          <w:highlight w:val="none"/>
        </w:rPr>
        <w:fldChar w:fldCharType="separate"/>
      </w:r>
      <w:r>
        <w:rPr>
          <w:color w:val="auto"/>
          <w:highlight w:val="none"/>
        </w:rPr>
        <w:fldChar w:fldCharType="begin"/>
      </w:r>
      <w:r>
        <w:rPr>
          <w:color w:val="auto"/>
          <w:highlight w:val="none"/>
        </w:rPr>
        <w:instrText xml:space="preserve"> HYPERLINK \l "_Toc166488918" \o "#_Toc166488918" </w:instrText>
      </w:r>
      <w:r>
        <w:rPr>
          <w:color w:val="auto"/>
          <w:highlight w:val="none"/>
        </w:rPr>
        <w:fldChar w:fldCharType="separate"/>
      </w:r>
      <w:r>
        <w:rPr>
          <w:rStyle w:val="793"/>
          <w:rFonts w:hint="eastAsia"/>
          <w:color w:val="auto"/>
          <w:highlight w:val="none"/>
        </w:rPr>
        <w:t xml:space="preserve">第一章 竞争性谈判邀请函</w:t>
      </w:r>
      <w:r>
        <w:rPr>
          <w:color w:val="auto"/>
          <w:highlight w:val="none"/>
        </w:rPr>
        <w:tab/>
      </w:r>
      <w:r>
        <w:rPr>
          <w:color w:val="auto"/>
          <w:highlight w:val="none"/>
        </w:rPr>
        <w:fldChar w:fldCharType="begin"/>
      </w:r>
      <w:r>
        <w:rPr>
          <w:color w:val="auto"/>
          <w:highlight w:val="none"/>
        </w:rPr>
        <w:instrText xml:space="preserve"> PAGEREF _Toc166488918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766"/>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"_Toc166488919" \o "#_Toc166488919" </w:instrText>
      </w:r>
      <w:r>
        <w:rPr>
          <w:color w:val="auto"/>
          <w:highlight w:val="none"/>
        </w:rPr>
        <w:fldChar w:fldCharType="separate"/>
      </w:r>
      <w:r>
        <w:rPr>
          <w:rStyle w:val="793"/>
          <w:rFonts w:hint="eastAsia"/>
          <w:color w:val="auto"/>
          <w:highlight w:val="none"/>
        </w:rPr>
        <w:t xml:space="preserve">第二章</w:t>
      </w:r>
      <w:r>
        <w:rPr>
          <w:rStyle w:val="793"/>
          <w:color w:val="auto"/>
          <w:highlight w:val="none"/>
        </w:rPr>
        <w:t xml:space="preserve"> </w:t>
      </w:r>
      <w:r>
        <w:rPr>
          <w:rStyle w:val="793"/>
          <w:rFonts w:hint="eastAsia"/>
          <w:color w:val="auto"/>
          <w:highlight w:val="none"/>
        </w:rPr>
        <w:t xml:space="preserve">响应须知</w:t>
      </w:r>
      <w:r>
        <w:rPr>
          <w:color w:val="auto"/>
          <w:highlight w:val="none"/>
        </w:rPr>
        <w:tab/>
      </w:r>
      <w:r>
        <w:rPr>
          <w:color w:val="auto"/>
          <w:highlight w:val="none"/>
        </w:rPr>
        <w:fldChar w:fldCharType="begin"/>
      </w:r>
      <w:r>
        <w:rPr>
          <w:color w:val="auto"/>
          <w:highlight w:val="none"/>
        </w:rPr>
        <w:instrText xml:space="preserve"> PAGEREF _Toc166488919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766"/>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"_Toc166488920" \o "#_Toc166488920" </w:instrText>
      </w:r>
      <w:r>
        <w:rPr>
          <w:color w:val="auto"/>
          <w:highlight w:val="none"/>
        </w:rPr>
        <w:fldChar w:fldCharType="separate"/>
      </w:r>
      <w:r>
        <w:rPr>
          <w:rStyle w:val="793"/>
          <w:rFonts w:hint="eastAsia"/>
          <w:color w:val="auto"/>
          <w:highlight w:val="none"/>
        </w:rPr>
        <w:t xml:space="preserve">第三章</w:t>
      </w:r>
      <w:r>
        <w:rPr>
          <w:rStyle w:val="793"/>
          <w:color w:val="auto"/>
          <w:highlight w:val="none"/>
        </w:rPr>
        <w:t xml:space="preserve"> </w:t>
      </w:r>
      <w:r>
        <w:rPr>
          <w:rStyle w:val="793"/>
          <w:rFonts w:hint="eastAsia"/>
          <w:color w:val="auto"/>
          <w:highlight w:val="none"/>
        </w:rPr>
        <w:t xml:space="preserve">响应内容</w:t>
      </w:r>
      <w:r>
        <w:rPr>
          <w:color w:val="auto"/>
          <w:highlight w:val="none"/>
        </w:rPr>
        <w:tab/>
      </w:r>
      <w:r>
        <w:rPr>
          <w:color w:val="auto"/>
          <w:highlight w:val="none"/>
        </w:rPr>
        <w:fldChar w:fldCharType="begin"/>
      </w:r>
      <w:r>
        <w:rPr>
          <w:color w:val="auto"/>
          <w:highlight w:val="none"/>
        </w:rPr>
        <w:instrText xml:space="preserve"> PAGEREF _Toc166488920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66"/>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"_Toc166488921" \o "#_Toc166488921" </w:instrText>
      </w:r>
      <w:r>
        <w:rPr>
          <w:color w:val="auto"/>
          <w:highlight w:val="none"/>
        </w:rPr>
        <w:fldChar w:fldCharType="separate"/>
      </w:r>
      <w:r>
        <w:rPr>
          <w:rStyle w:val="793"/>
          <w:rFonts w:hint="eastAsia"/>
          <w:color w:val="auto"/>
          <w:highlight w:val="none"/>
        </w:rPr>
        <w:t xml:space="preserve">第四章</w:t>
      </w:r>
      <w:r>
        <w:rPr>
          <w:rStyle w:val="793"/>
          <w:color w:val="auto"/>
          <w:highlight w:val="none"/>
        </w:rPr>
        <w:t xml:space="preserve"> </w:t>
      </w:r>
      <w:r>
        <w:rPr>
          <w:rStyle w:val="793"/>
          <w:rFonts w:hint="eastAsia"/>
          <w:color w:val="auto"/>
          <w:highlight w:val="none"/>
        </w:rPr>
        <w:t xml:space="preserve">竞争性谈判程序</w:t>
      </w:r>
      <w:r>
        <w:rPr>
          <w:color w:val="auto"/>
          <w:highlight w:val="none"/>
        </w:rPr>
        <w:tab/>
      </w:r>
      <w:r>
        <w:rPr>
          <w:color w:val="auto"/>
          <w:highlight w:val="none"/>
        </w:rPr>
        <w:fldChar w:fldCharType="begin"/>
      </w:r>
      <w:r>
        <w:rPr>
          <w:color w:val="auto"/>
          <w:highlight w:val="none"/>
        </w:rPr>
        <w:instrText xml:space="preserve"> PAGEREF _Toc166488921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766"/>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"_Toc166488922" \o "#_Toc166488922" </w:instrText>
      </w:r>
      <w:r>
        <w:rPr>
          <w:color w:val="auto"/>
          <w:highlight w:val="none"/>
        </w:rPr>
        <w:fldChar w:fldCharType="separate"/>
      </w:r>
      <w:r>
        <w:rPr>
          <w:rStyle w:val="793"/>
          <w:rFonts w:hint="eastAsia"/>
          <w:color w:val="auto"/>
          <w:highlight w:val="none"/>
        </w:rPr>
        <w:t xml:space="preserve">第五章</w:t>
      </w:r>
      <w:r>
        <w:rPr>
          <w:rStyle w:val="793"/>
          <w:color w:val="auto"/>
          <w:highlight w:val="none"/>
        </w:rPr>
        <w:t xml:space="preserve"> </w:t>
      </w:r>
      <w:r>
        <w:rPr>
          <w:rStyle w:val="793"/>
          <w:rFonts w:hint="eastAsia"/>
          <w:color w:val="auto"/>
          <w:highlight w:val="none"/>
        </w:rPr>
        <w:t xml:space="preserve">合同条款</w:t>
      </w:r>
      <w:r>
        <w:rPr>
          <w:color w:val="auto"/>
          <w:highlight w:val="none"/>
        </w:rPr>
        <w:tab/>
      </w:r>
      <w:r>
        <w:rPr>
          <w:color w:val="auto"/>
          <w:highlight w:val="none"/>
        </w:rPr>
        <w:fldChar w:fldCharType="begin"/>
      </w:r>
      <w:r>
        <w:rPr>
          <w:color w:val="auto"/>
          <w:highlight w:val="none"/>
        </w:rPr>
        <w:instrText xml:space="preserve"> PAGEREF _Toc166488922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766"/>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"_Toc166488923" \o "#_Toc166488923" </w:instrText>
      </w:r>
      <w:r>
        <w:rPr>
          <w:color w:val="auto"/>
          <w:highlight w:val="none"/>
        </w:rPr>
        <w:fldChar w:fldCharType="separate"/>
      </w:r>
      <w:r>
        <w:rPr>
          <w:rStyle w:val="793"/>
          <w:rFonts w:hint="eastAsia"/>
          <w:color w:val="auto"/>
          <w:highlight w:val="none"/>
        </w:rPr>
        <w:t xml:space="preserve">第六章</w:t>
      </w:r>
      <w:r>
        <w:rPr>
          <w:rStyle w:val="793"/>
          <w:color w:val="auto"/>
          <w:highlight w:val="none"/>
        </w:rPr>
        <w:t xml:space="preserve"> </w:t>
      </w:r>
      <w:r>
        <w:rPr>
          <w:rStyle w:val="793"/>
          <w:rFonts w:hint="eastAsia"/>
          <w:color w:val="auto"/>
          <w:highlight w:val="none"/>
        </w:rPr>
        <w:t xml:space="preserve">评审方法</w:t>
      </w:r>
      <w:r>
        <w:rPr>
          <w:color w:val="auto"/>
          <w:highlight w:val="none"/>
        </w:rPr>
        <w:tab/>
      </w:r>
      <w:r>
        <w:rPr>
          <w:color w:val="auto"/>
          <w:highlight w:val="none"/>
        </w:rPr>
        <w:fldChar w:fldCharType="begin"/>
      </w:r>
      <w:r>
        <w:rPr>
          <w:color w:val="auto"/>
          <w:highlight w:val="none"/>
        </w:rPr>
        <w:instrText xml:space="preserve"> PAGEREF _Toc166488923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766"/>
        <w:tabs>
          <w:tab w:val="right" w:pos="8302" w:leader="dot"/>
        </w:tabs>
        <w:rPr>
          <w:rFonts w:asciiTheme="minorHAnsi" w:hAnsiTheme="minorHAnsi" w:eastAsiaTheme="minorEastAsia" w:cstheme="minorBidi"/>
          <w:color w:val="auto"/>
          <w:sz w:val="21"/>
          <w:szCs w:val="22"/>
          <w:highlight w:val="none"/>
        </w:rPr>
      </w:pPr>
      <w:r>
        <w:rPr>
          <w:color w:val="auto"/>
          <w:highlight w:val="none"/>
        </w:rPr>
        <w:fldChar w:fldCharType="begin"/>
      </w:r>
      <w:r>
        <w:rPr>
          <w:color w:val="auto"/>
          <w:highlight w:val="none"/>
        </w:rPr>
        <w:instrText xml:space="preserve"> HYPERLINK \l "_Toc166488924" \o "#_Toc166488924" </w:instrText>
      </w:r>
      <w:r>
        <w:rPr>
          <w:color w:val="auto"/>
          <w:highlight w:val="none"/>
        </w:rPr>
        <w:fldChar w:fldCharType="separate"/>
      </w:r>
      <w:r>
        <w:rPr>
          <w:rStyle w:val="793"/>
          <w:rFonts w:hint="eastAsia"/>
          <w:color w:val="auto"/>
          <w:highlight w:val="none"/>
        </w:rPr>
        <w:t xml:space="preserve">第七章</w:t>
      </w:r>
      <w:r>
        <w:rPr>
          <w:rStyle w:val="793"/>
          <w:color w:val="auto"/>
          <w:highlight w:val="none"/>
        </w:rPr>
        <w:t xml:space="preserve"> </w:t>
      </w:r>
      <w:r>
        <w:rPr>
          <w:rStyle w:val="793"/>
          <w:rFonts w:hint="eastAsia"/>
          <w:color w:val="auto"/>
          <w:highlight w:val="none"/>
        </w:rPr>
        <w:t xml:space="preserve">附件</w:t>
      </w:r>
      <w:r>
        <w:rPr>
          <w:color w:val="auto"/>
          <w:highlight w:val="none"/>
        </w:rPr>
        <w:tab/>
      </w:r>
      <w:r>
        <w:rPr>
          <w:color w:val="auto"/>
          <w:highlight w:val="none"/>
        </w:rPr>
        <w:fldChar w:fldCharType="begin"/>
      </w:r>
      <w:r>
        <w:rPr>
          <w:color w:val="auto"/>
          <w:highlight w:val="none"/>
        </w:rPr>
        <w:instrText xml:space="preserve"> PAGEREF _Toc166488924 \h </w:instrText>
      </w:r>
      <w:r>
        <w:rPr>
          <w:color w:val="auto"/>
          <w:highlight w:val="none"/>
        </w:rPr>
        <w:fldChar w:fldCharType="separate"/>
      </w:r>
      <w:r>
        <w:rPr>
          <w:color w:val="auto"/>
          <w:highlight w:val="none"/>
        </w:rPr>
        <w:t xml:space="preserve">39</w:t>
      </w:r>
      <w:r>
        <w:rPr>
          <w:color w:val="auto"/>
          <w:highlight w:val="none"/>
        </w:rPr>
        <w:fldChar w:fldCharType="end"/>
      </w:r>
      <w:r>
        <w:rPr>
          <w:color w:val="auto"/>
          <w:highlight w:val="none"/>
        </w:rPr>
        <w:fldChar w:fldCharType="end"/>
      </w:r>
      <w:r/>
    </w:p>
    <w:p>
      <w:pPr>
        <w:pStyle w:val="766"/>
        <w:tabs>
          <w:tab w:val="right" w:pos="8302" w:leader="dot"/>
        </w:tabs>
        <w:rPr>
          <w:rFonts w:asciiTheme="minorHAnsi" w:hAnsiTheme="minorHAnsi" w:eastAsiaTheme="minorEastAsia" w:cstheme="minorBidi"/>
          <w:color w:val="auto"/>
          <w:sz w:val="21"/>
          <w:szCs w:val="22"/>
          <w:highlight w:val="none"/>
        </w:rPr>
      </w:pPr>
      <w:r>
        <w:rPr>
          <w:rFonts w:ascii="宋体" w:hAnsi="宋体"/>
          <w:color w:val="auto"/>
          <w:sz w:val="28"/>
          <w:highlight w:val="none"/>
        </w:rPr>
        <w:fldChar w:fldCharType="end"/>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spacing w:line="360" w:lineRule="auto"/>
        <w:rPr>
          <w:rFonts w:ascii="宋体" w:hAnsi="宋体"/>
          <w:color w:val="auto"/>
          <w:sz w:val="28"/>
          <w:highlight w:val="none"/>
        </w:rPr>
      </w:pPr>
      <w:r>
        <w:rPr>
          <w:rFonts w:ascii="宋体" w:hAnsi="宋体"/>
          <w:color w:val="auto"/>
          <w:sz w:val="28"/>
          <w:highlight w:val="none"/>
        </w:rPr>
      </w:r>
      <w:r/>
    </w:p>
    <w:p>
      <w:pPr>
        <w:rPr>
          <w:rFonts w:ascii="宋体" w:hAnsi="宋体"/>
          <w:b/>
          <w:bCs/>
          <w:color w:val="auto"/>
          <w:sz w:val="30"/>
          <w:highlight w:val="none"/>
        </w:rPr>
      </w:pPr>
      <w:r/>
      <w:bookmarkStart w:id="0" w:name="_Toc477184526"/>
      <w:r/>
      <w:bookmarkStart w:id="1" w:name="_Toc477184667"/>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Fonts w:ascii="宋体" w:hAnsi="宋体"/>
          <w:b/>
          <w:bCs/>
          <w:color w:val="auto"/>
          <w:sz w:val="30"/>
          <w:highlight w:val="none"/>
        </w:rPr>
      </w:pPr>
      <w:r>
        <w:rPr>
          <w:rFonts w:ascii="宋体" w:hAnsi="宋体"/>
          <w:b/>
          <w:bCs/>
          <w:color w:val="auto"/>
          <w:sz w:val="30"/>
          <w:highlight w:val="none"/>
        </w:rPr>
      </w:r>
      <w:r/>
    </w:p>
    <w:p>
      <w:pPr>
        <w:rPr>
          <w:rStyle w:val="1050"/>
          <w:color w:val="auto"/>
          <w:sz w:val="32"/>
          <w:szCs w:val="32"/>
          <w:highlight w:val="none"/>
        </w:rPr>
      </w:pPr>
      <w:r>
        <w:rPr>
          <w:color w:val="auto"/>
          <w:highlight w:val="none"/>
        </w:rPr>
        <w:br w:type="page" w:clear="all"/>
      </w:r>
      <w:r/>
    </w:p>
    <w:p>
      <w:pPr>
        <w:pStyle w:val="731"/>
        <w:jc w:val="center"/>
        <w:spacing w:line="240" w:lineRule="auto"/>
        <w:rPr>
          <w:color w:val="auto"/>
          <w:highlight w:val="none"/>
        </w:rPr>
      </w:pPr>
      <w:r/>
      <w:bookmarkStart w:id="2" w:name="_Toc166488918"/>
      <w:r>
        <w:rPr>
          <w:rStyle w:val="1050"/>
          <w:rFonts w:hint="eastAsia"/>
          <w:b/>
          <w:bCs/>
          <w:color w:val="auto"/>
          <w:sz w:val="32"/>
          <w:szCs w:val="32"/>
          <w:highlight w:val="none"/>
        </w:rPr>
        <w:t xml:space="preserve">第一章 竞争性谈判邀请函</w:t>
      </w:r>
      <w:bookmarkEnd w:id="0"/>
      <w:r/>
      <w:bookmarkEnd w:id="1"/>
      <w:r/>
      <w:bookmarkEnd w:id="2"/>
      <w:r/>
      <w:r/>
    </w:p>
    <w:p>
      <w:pPr>
        <w:ind w:firstLine="420"/>
        <w:spacing w:line="360" w:lineRule="auto"/>
        <w:rPr>
          <w:rFonts w:ascii="宋体" w:hAnsi="宋体"/>
          <w:color w:val="auto"/>
          <w:szCs w:val="21"/>
          <w:highlight w:val="none"/>
        </w:rPr>
      </w:pPr>
      <w:r/>
      <w:bookmarkStart w:id="3" w:name="_Toc477184528"/>
      <w:r/>
      <w:bookmarkStart w:id="4" w:name="_Toc477184668"/>
      <w:r/>
      <w:bookmarkStart w:id="5" w:name="_Toc477184669"/>
      <w:r/>
      <w:bookmarkStart w:id="6" w:name="_Toc477184527"/>
      <w:r>
        <w:rPr>
          <w:rFonts w:hint="eastAsia" w:ascii="宋体" w:hAnsi="宋体"/>
          <w:color w:val="auto"/>
          <w:szCs w:val="21"/>
          <w:highlight w:val="none"/>
        </w:rPr>
        <w:t xml:space="preserve">受</w:t>
      </w:r>
      <w:r>
        <w:rPr>
          <w:rFonts w:hint="eastAsia" w:ascii="宋体" w:hAnsi="宋体"/>
          <w:color w:val="auto"/>
          <w:szCs w:val="21"/>
          <w:highlight w:val="none"/>
          <w:u w:val="single"/>
        </w:rPr>
        <w:t xml:space="preserve">昆山市教育装备与勤工俭学管理中心</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 </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rPr>
        <w:t xml:space="preserve">江苏省昆山第一中等专业学校教学仪器设备</w:t>
      </w:r>
      <w:r>
        <w:rPr>
          <w:rFonts w:hint="eastAsia" w:ascii="宋体" w:hAnsi="宋体"/>
          <w:color w:val="auto"/>
          <w:szCs w:val="21"/>
          <w:highlight w:val="none"/>
          <w:u w:val="none"/>
          <w:lang w:val="en-US" w:eastAsia="zh-CN"/>
        </w:rPr>
        <w:t xml:space="preserve">项目</w:t>
      </w:r>
      <w:r>
        <w:rPr>
          <w:rFonts w:hint="eastAsia" w:ascii="宋体" w:hAnsi="宋体"/>
          <w:color w:val="auto"/>
          <w:szCs w:val="21"/>
          <w:highlight w:val="none"/>
        </w:rPr>
        <w:t xml:space="preserve">进行竞争性谈判。欢迎有资格的供应商前来参加投标。</w:t>
      </w:r>
      <w:r/>
    </w:p>
    <w:p>
      <w:pPr>
        <w:ind w:right="178" w:firstLine="422"/>
        <w:spacing w:line="360" w:lineRule="auto"/>
        <w:rPr>
          <w:rFonts w:ascii="宋体" w:hAnsi="宋体"/>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tabs>
          <w:tab w:val="right" w:pos="7892" w:leader="none"/>
        </w:tabs>
        <w:rPr>
          <w:rFonts w:ascii="宋体" w:hAnsi="宋体"/>
          <w:bCs/>
          <w:color w:val="auto"/>
          <w:szCs w:val="21"/>
          <w:highlight w:val="none"/>
        </w:rPr>
      </w:pPr>
      <w:r>
        <w:rPr>
          <w:rFonts w:hint="eastAsia" w:ascii="宋体" w:hAnsi="宋体"/>
          <w:color w:val="auto"/>
          <w:szCs w:val="21"/>
          <w:highlight w:val="none"/>
        </w:rPr>
        <w:t xml:space="preserve">1.项目编号：JSZC-320583-SZYE-T2025-0050；</w:t>
      </w:r>
      <w:r>
        <w:rPr>
          <w:rFonts w:hint="eastAsia" w:ascii="宋体" w:hAnsi="宋体"/>
          <w:color w:val="auto"/>
          <w:szCs w:val="21"/>
          <w:highlight w:val="none"/>
        </w:rPr>
        <w:tab/>
      </w:r>
      <w:r/>
    </w:p>
    <w:p>
      <w:pPr>
        <w:ind w:right="178" w:firstLine="420"/>
        <w:spacing w:line="360" w:lineRule="auto"/>
        <w:rPr>
          <w:rFonts w:ascii="宋体" w:hAnsi="宋体"/>
          <w:color w:val="auto"/>
          <w:szCs w:val="21"/>
          <w:highlight w:val="none"/>
          <w:u w:val="single"/>
        </w:rPr>
      </w:pPr>
      <w:r>
        <w:rPr>
          <w:rFonts w:ascii="宋体" w:hAnsi="宋体"/>
          <w:bCs/>
          <w:color w:val="auto"/>
          <w:szCs w:val="21"/>
          <w:highlight w:val="none"/>
        </w:rPr>
        <w:t xml:space="preserve">2</w:t>
      </w:r>
      <w:r>
        <w:rPr>
          <w:rFonts w:hint="eastAsia" w:ascii="宋体" w:hAnsi="宋体"/>
          <w:bCs/>
          <w:color w:val="auto"/>
          <w:szCs w:val="21"/>
          <w:highlight w:val="none"/>
        </w:rPr>
        <w:t xml:space="preserve">.项目名称</w:t>
      </w:r>
      <w:r>
        <w:rPr>
          <w:rFonts w:hint="eastAsia" w:ascii="宋体" w:hAnsi="宋体"/>
          <w:color w:val="auto"/>
          <w:szCs w:val="21"/>
          <w:highlight w:val="none"/>
        </w:rPr>
        <w:t xml:space="preserve">：江苏省昆山第一中等专业学校教学仪器设备；</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3.预算金额：人民币</w:t>
      </w:r>
      <w:r>
        <w:rPr>
          <w:rFonts w:hint="eastAsia" w:ascii="宋体" w:hAnsi="宋体"/>
          <w:color w:val="auto"/>
          <w:szCs w:val="21"/>
          <w:highlight w:val="none"/>
          <w:lang w:val="en-US" w:eastAsia="zh-CN"/>
        </w:rPr>
        <w:t xml:space="preserve">伍拾壹万捌仟元整</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518000.00</w:t>
      </w:r>
      <w:r>
        <w:rPr>
          <w:rFonts w:hint="eastAsia" w:ascii="宋体" w:hAnsi="宋体"/>
          <w:color w:val="auto"/>
          <w:szCs w:val="21"/>
          <w:highlight w:val="none"/>
        </w:rPr>
        <w:t xml:space="preserve">元</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4.采购内容：江苏省昆山第一中等专业学校教学仪器设备，具体内容详见招标文件；</w:t>
      </w:r>
      <w:r/>
    </w:p>
    <w:p>
      <w:pPr>
        <w:ind w:right="178" w:firstLine="420"/>
        <w:spacing w:line="360" w:lineRule="auto"/>
        <w:rPr>
          <w:rFonts w:ascii="宋体" w:hAnsi="宋体"/>
          <w:b w:val="0"/>
          <w:bCs w:val="0"/>
          <w:color w:val="auto"/>
          <w:szCs w:val="21"/>
          <w:highlight w:val="none"/>
        </w:rPr>
      </w:pPr>
      <w:r>
        <w:rPr>
          <w:rFonts w:hint="eastAsia" w:ascii="宋体" w:hAnsi="宋体"/>
          <w:b/>
          <w:bCs/>
          <w:color w:val="auto"/>
          <w:szCs w:val="21"/>
          <w:highlight w:val="none"/>
        </w:rPr>
        <w:t xml:space="preserve">5.</w:t>
      </w:r>
      <w:r>
        <w:rPr>
          <w:rFonts w:hint="eastAsia" w:ascii="宋体" w:hAnsi="宋体"/>
          <w:b/>
          <w:bCs/>
          <w:color w:val="auto"/>
          <w:szCs w:val="21"/>
          <w:highlight w:val="none"/>
          <w:lang w:val="en-US" w:eastAsia="zh-CN"/>
        </w:rPr>
        <w:t xml:space="preserve">交货期</w:t>
      </w:r>
      <w:r>
        <w:rPr>
          <w:rFonts w:hint="eastAsia" w:ascii="宋体" w:hAnsi="宋体"/>
          <w:b/>
          <w:bCs/>
          <w:color w:val="auto"/>
          <w:szCs w:val="21"/>
          <w:highlight w:val="none"/>
        </w:rPr>
        <w:t xml:space="preserve">：合同签订生效后</w:t>
      </w:r>
      <w:r>
        <w:rPr>
          <w:rFonts w:hint="eastAsia" w:ascii="宋体" w:hAnsi="宋体"/>
          <w:b/>
          <w:bCs/>
          <w:color w:val="auto"/>
          <w:szCs w:val="21"/>
          <w:highlight w:val="none"/>
          <w:lang w:val="en-US" w:eastAsia="zh-CN"/>
        </w:rPr>
        <w:t xml:space="preserve">20</w:t>
      </w:r>
      <w:r>
        <w:rPr>
          <w:rFonts w:hint="eastAsia" w:ascii="宋体" w:hAnsi="宋体"/>
          <w:b/>
          <w:bCs/>
          <w:color w:val="auto"/>
          <w:szCs w:val="21"/>
          <w:highlight w:val="none"/>
        </w:rPr>
        <w:t xml:space="preserve">天内完成供货安装调试，并能通过采购方验收，交付采购方使用。</w:t>
      </w:r>
      <w:r/>
    </w:p>
    <w:p>
      <w:pPr>
        <w:ind w:right="178" w:firstLine="420"/>
        <w:spacing w:line="360" w:lineRule="auto"/>
        <w:rPr>
          <w:rFonts w:ascii="宋体" w:hAnsi="宋体"/>
          <w:color w:val="auto"/>
          <w:szCs w:val="21"/>
          <w:highlight w:val="none"/>
        </w:rPr>
      </w:pPr>
      <w:r>
        <w:rPr>
          <w:rFonts w:hint="eastAsia" w:ascii="宋体" w:hAnsi="宋体"/>
          <w:color w:val="auto"/>
          <w:szCs w:val="21"/>
          <w:highlight w:val="none"/>
        </w:rPr>
        <w:t xml:space="preserve">6.本项目不接受联合体投标。</w:t>
      </w:r>
      <w:r/>
    </w:p>
    <w:p>
      <w:pPr>
        <w:ind w:right="178"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二、申请人的资格要求</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满足《中华人民共和国政府采购法》第二十二条规定；</w:t>
      </w:r>
      <w:r>
        <w:rPr>
          <w:rFonts w:hint="eastAsia" w:ascii="宋体" w:hAnsi="宋体"/>
          <w:b/>
          <w:bCs/>
          <w:color w:val="auto"/>
          <w:szCs w:val="21"/>
          <w:highlight w:val="none"/>
        </w:rPr>
        <w:t xml:space="preserve">（提供相关材料）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落实政府采购政策需满足的资格要求：</w:t>
      </w:r>
      <w:r>
        <w:rPr>
          <w:rFonts w:hint="eastAsia" w:ascii="宋体" w:hAnsi="宋体"/>
          <w:b/>
          <w:bCs w:val="0"/>
          <w:color w:val="auto"/>
          <w:szCs w:val="21"/>
          <w:highlight w:val="none"/>
          <w:lang w:val="en-US" w:eastAsia="zh-CN"/>
        </w:rPr>
        <w:t xml:space="preserve">本项目专门面向中小企业采购，残疾人福利性单位、监狱企业视同小型、微型企业</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本项目的特定资格条件：无；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w:t>
      </w:r>
      <w:r>
        <w:rPr>
          <w:rFonts w:hint="eastAsia" w:ascii="宋体" w:hAnsi="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注:</w:t>
      </w:r>
      <w:r>
        <w:rPr>
          <w:rFonts w:ascii="宋体" w:hAnsi="宋体"/>
          <w:b/>
          <w:color w:val="auto"/>
          <w:szCs w:val="21"/>
          <w:highlight w:val="none"/>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Cs w:val="21"/>
          <w:highlight w:val="none"/>
        </w:rPr>
      </w:pPr>
      <w:r>
        <w:rPr>
          <w:rFonts w:hint="eastAsia" w:ascii="宋体" w:hAnsi="宋体" w:cs="Arial"/>
          <w:b/>
          <w:color w:val="auto"/>
          <w:szCs w:val="21"/>
          <w:highlight w:val="none"/>
        </w:rPr>
        <w:t xml:space="preserve">三、获取谈判文件</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1.获取谈判文件时间：</w:t>
      </w:r>
      <w:r>
        <w:rPr>
          <w:rFonts w:hint="eastAsia" w:ascii="宋体" w:hAnsi="宋体"/>
          <w:bCs/>
          <w:color w:val="auto"/>
          <w:szCs w:val="21"/>
          <w:highlight w:val="none"/>
        </w:rPr>
        <w:t xml:space="preserve">上网之日起至</w:t>
      </w:r>
      <w:r>
        <w:rPr>
          <w:rFonts w:hint="eastAsia" w:ascii="宋体" w:hAnsi="宋体"/>
          <w:color w:val="ff0000"/>
          <w:highlight w:val="none"/>
        </w:rPr>
        <w:t xml:space="preserve">2025年</w:t>
      </w:r>
      <w:r>
        <w:rPr>
          <w:rFonts w:hint="eastAsia" w:ascii="宋体" w:hAnsi="宋体"/>
          <w:color w:val="ff0000"/>
          <w:highlight w:val="none"/>
          <w:lang w:val="en-US" w:eastAsia="zh-CN"/>
        </w:rPr>
        <w:t xml:space="preserve">10</w:t>
      </w:r>
      <w:r>
        <w:rPr>
          <w:rFonts w:hint="eastAsia" w:ascii="宋体" w:hAnsi="宋体"/>
          <w:color w:val="ff0000"/>
          <w:highlight w:val="none"/>
        </w:rPr>
        <w:t xml:space="preserve">月</w:t>
      </w:r>
      <w:r>
        <w:rPr>
          <w:rFonts w:hint="eastAsia" w:ascii="宋体" w:hAnsi="宋体"/>
          <w:color w:val="ff0000"/>
          <w:highlight w:val="none"/>
          <w:lang w:val="en-US" w:eastAsia="zh-CN"/>
        </w:rPr>
        <w:t xml:space="preserve">23</w:t>
      </w:r>
      <w:r>
        <w:rPr>
          <w:rFonts w:hint="eastAsia" w:ascii="宋体" w:hAnsi="宋体"/>
          <w:color w:val="ff0000"/>
          <w:highlight w:val="none"/>
        </w:rPr>
        <w:t xml:space="preserve">日</w:t>
      </w:r>
      <w:r>
        <w:rPr>
          <w:rFonts w:hint="eastAsia" w:ascii="宋体" w:hAnsi="宋体"/>
          <w:color w:val="auto"/>
          <w:highlight w:val="none"/>
        </w:rPr>
        <w:t xml:space="preserve">17:00</w:t>
      </w:r>
      <w:r>
        <w:rPr>
          <w:rFonts w:hint="eastAsia" w:ascii="宋体" w:hAnsi="宋体" w:cs="Arial"/>
          <w:color w:val="auto"/>
          <w:szCs w:val="21"/>
          <w:highlight w:val="none"/>
        </w:rPr>
        <w:t xml:space="preserve">（北京时间）；</w:t>
      </w:r>
      <w:r/>
    </w:p>
    <w:p>
      <w:pPr>
        <w:ind w:firstLine="420"/>
        <w:spacing w:line="360" w:lineRule="auto"/>
        <w:rPr>
          <w:rFonts w:ascii="宋体" w:hAnsi="宋体" w:cs="Arial"/>
          <w:color w:val="auto"/>
          <w:szCs w:val="21"/>
          <w:highlight w:val="none"/>
        </w:rPr>
      </w:pPr>
      <w:r>
        <w:rPr>
          <w:rFonts w:hint="eastAsia" w:ascii="宋体" w:hAnsi="宋体" w:cs="Arial"/>
          <w:color w:val="auto"/>
          <w:szCs w:val="21"/>
          <w:highlight w:val="none"/>
        </w:rPr>
        <w:t xml:space="preserve">2.获取谈判文件方式：登录“苏采云”系统自行下载本项目招标文件；</w:t>
      </w:r>
      <w:r/>
    </w:p>
    <w:p>
      <w:pPr>
        <w:ind w:firstLine="420"/>
        <w:spacing w:line="360" w:lineRule="auto"/>
        <w:rPr>
          <w:rFonts w:ascii="宋体" w:hAnsi="宋体" w:cs="Arial"/>
          <w:b/>
          <w:color w:val="auto"/>
          <w:szCs w:val="21"/>
          <w:highlight w:val="none"/>
        </w:rPr>
      </w:pPr>
      <w:r>
        <w:rPr>
          <w:rFonts w:hint="eastAsia" w:ascii="宋体" w:hAnsi="宋体" w:cs="Arial"/>
          <w:color w:val="auto"/>
          <w:szCs w:val="21"/>
          <w:highlight w:val="none"/>
        </w:rPr>
        <w:t xml:space="preserve">3.谈判文件售价：0元。 </w:t>
      </w:r>
      <w:r>
        <w:rPr>
          <w:rFonts w:hint="eastAsia" w:ascii="宋体" w:hAnsi="宋体" w:cs="Arial"/>
          <w:b/>
          <w:color w:val="auto"/>
          <w:szCs w:val="21"/>
          <w:highlight w:val="none"/>
        </w:rPr>
        <w:t xml:space="preserve"> </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rPr>
        <w:t xml:space="preserve">四、提交响应文件截止时间、开标时间和地点</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本项目采用电子化采购模式，供应商须网上提交响应文件，并可通过远程开标方式完成开标。</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1.提交响应文件截止时间：</w:t>
      </w:r>
      <w:r>
        <w:rPr>
          <w:rFonts w:hint="eastAsia" w:ascii="宋体" w:hAnsi="宋体"/>
          <w:bCs/>
          <w:color w:val="ff0000"/>
          <w:szCs w:val="21"/>
          <w:highlight w:val="none"/>
        </w:rPr>
        <w:t xml:space="preserve">2025年</w:t>
      </w:r>
      <w:r>
        <w:rPr>
          <w:rFonts w:hint="eastAsia" w:ascii="宋体" w:hAnsi="宋体"/>
          <w:bCs/>
          <w:color w:val="ff0000"/>
          <w:szCs w:val="21"/>
          <w:highlight w:val="none"/>
          <w:lang w:val="en-US" w:eastAsia="zh-CN"/>
        </w:rPr>
        <w:t xml:space="preserve">10</w:t>
      </w:r>
      <w:r>
        <w:rPr>
          <w:rFonts w:hint="eastAsia" w:ascii="宋体" w:hAnsi="宋体"/>
          <w:bCs/>
          <w:color w:val="ff0000"/>
          <w:szCs w:val="21"/>
          <w:highlight w:val="none"/>
        </w:rPr>
        <w:t xml:space="preserve">月</w:t>
      </w:r>
      <w:r>
        <w:rPr>
          <w:rFonts w:hint="eastAsia" w:ascii="宋体" w:hAnsi="宋体"/>
          <w:bCs/>
          <w:color w:val="ff0000"/>
          <w:szCs w:val="21"/>
          <w:highlight w:val="none"/>
          <w:lang w:val="en-US" w:eastAsia="zh-CN"/>
        </w:rPr>
        <w:t xml:space="preserve">28</w:t>
      </w:r>
      <w:r>
        <w:rPr>
          <w:rFonts w:hint="eastAsia" w:ascii="宋体" w:hAnsi="宋体"/>
          <w:bCs/>
          <w:color w:val="ff0000"/>
          <w:szCs w:val="21"/>
          <w:highlight w:val="none"/>
        </w:rPr>
        <w:t xml:space="preserve">日</w:t>
      </w:r>
      <w:r>
        <w:rPr>
          <w:rFonts w:hint="eastAsia" w:ascii="宋体" w:hAnsi="宋体"/>
          <w:bCs/>
          <w:color w:val="auto"/>
          <w:szCs w:val="21"/>
          <w:highlight w:val="none"/>
          <w:lang w:val="en-US" w:eastAsia="zh-CN"/>
        </w:rPr>
        <w:t xml:space="preserve">10</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2.远程开标时间：</w:t>
      </w:r>
      <w:r>
        <w:rPr>
          <w:rFonts w:hint="eastAsia" w:ascii="宋体" w:hAnsi="宋体"/>
          <w:bCs/>
          <w:color w:val="ff0000"/>
          <w:szCs w:val="21"/>
          <w:highlight w:val="none"/>
        </w:rPr>
        <w:t xml:space="preserve">2025年</w:t>
      </w:r>
      <w:r>
        <w:rPr>
          <w:rFonts w:hint="eastAsia" w:ascii="宋体" w:hAnsi="宋体"/>
          <w:bCs/>
          <w:color w:val="ff0000"/>
          <w:szCs w:val="21"/>
          <w:highlight w:val="none"/>
          <w:lang w:val="en-US" w:eastAsia="zh-CN"/>
        </w:rPr>
        <w:t xml:space="preserve">10</w:t>
      </w:r>
      <w:r>
        <w:rPr>
          <w:rFonts w:hint="eastAsia" w:ascii="宋体" w:hAnsi="宋体"/>
          <w:bCs/>
          <w:color w:val="ff0000"/>
          <w:szCs w:val="21"/>
          <w:highlight w:val="none"/>
        </w:rPr>
        <w:t xml:space="preserve">月</w:t>
      </w:r>
      <w:r>
        <w:rPr>
          <w:rFonts w:hint="eastAsia" w:ascii="宋体" w:hAnsi="宋体"/>
          <w:bCs/>
          <w:color w:val="ff0000"/>
          <w:szCs w:val="21"/>
          <w:highlight w:val="none"/>
          <w:lang w:val="en-US" w:eastAsia="zh-CN"/>
        </w:rPr>
        <w:t xml:space="preserve">28</w:t>
      </w:r>
      <w:r>
        <w:rPr>
          <w:rFonts w:hint="eastAsia" w:ascii="宋体" w:hAnsi="宋体"/>
          <w:bCs/>
          <w:color w:val="ff0000"/>
          <w:szCs w:val="21"/>
          <w:highlight w:val="none"/>
        </w:rPr>
        <w:t xml:space="preserve">日</w:t>
      </w:r>
      <w:r>
        <w:rPr>
          <w:rFonts w:ascii="宋体" w:hAnsi="宋体"/>
          <w:bCs/>
          <w:color w:val="auto"/>
          <w:szCs w:val="21"/>
          <w:highlight w:val="none"/>
        </w:rPr>
        <w:t xml:space="preserve">1</w:t>
      </w:r>
      <w:r>
        <w:rPr>
          <w:rFonts w:hint="eastAsia" w:ascii="宋体" w:hAnsi="宋体"/>
          <w:bCs/>
          <w:color w:val="auto"/>
          <w:szCs w:val="21"/>
          <w:highlight w:val="none"/>
          <w:lang w:val="en-US" w:eastAsia="zh-CN"/>
        </w:rPr>
        <w:t xml:space="preserve">0</w:t>
      </w:r>
      <w:r>
        <w:rPr>
          <w:rFonts w:hint="eastAsia" w:ascii="宋体" w:hAnsi="宋体"/>
          <w:bCs/>
          <w:color w:val="auto"/>
          <w:szCs w:val="21"/>
          <w:highlight w:val="none"/>
        </w:rPr>
        <w:t xml:space="preserve">:30（北京时间）；</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3.远程CA解密时间：以开标时“苏采云”系统为准；</w:t>
      </w:r>
      <w:r/>
    </w:p>
    <w:p>
      <w:pPr>
        <w:ind w:firstLine="420"/>
        <w:spacing w:line="360" w:lineRule="auto"/>
        <w:rPr>
          <w:rFonts w:ascii="宋体" w:hAnsi="宋体"/>
          <w:bCs/>
          <w:color w:val="auto"/>
          <w:szCs w:val="21"/>
          <w:highlight w:val="none"/>
        </w:rPr>
      </w:pPr>
      <w:r>
        <w:rPr>
          <w:rFonts w:ascii="宋体" w:hAnsi="宋体"/>
          <w:bCs/>
          <w:color w:val="auto"/>
          <w:szCs w:val="21"/>
          <w:highlight w:val="none"/>
        </w:rPr>
        <w:t xml:space="preserve">4</w:t>
      </w:r>
      <w:r>
        <w:rPr>
          <w:rFonts w:hint="eastAsia" w:ascii="宋体" w:hAnsi="宋体"/>
          <w:bCs/>
          <w:color w:val="auto"/>
          <w:szCs w:val="21"/>
          <w:highlight w:val="none"/>
        </w:rPr>
        <w:t xml:space="preserve">.开标地点：“苏采云”系统（网址：http://jszfcg.jsczt.cn/）。</w:t>
      </w:r>
      <w:r/>
    </w:p>
    <w:p>
      <w:pPr>
        <w:ind w:firstLine="422"/>
        <w:spacing w:line="360" w:lineRule="auto"/>
        <w:rPr>
          <w:rFonts w:ascii="宋体" w:hAnsi="宋体"/>
          <w:b/>
          <w:color w:val="auto"/>
          <w:szCs w:val="21"/>
          <w:highlight w:val="none"/>
        </w:rPr>
      </w:pPr>
      <w:r>
        <w:rPr>
          <w:rFonts w:hint="eastAsia" w:ascii="宋体" w:hAnsi="宋体"/>
          <w:b/>
          <w:color w:val="auto"/>
          <w:szCs w:val="21"/>
          <w:highlight w:val="none"/>
        </w:rPr>
        <w:t xml:space="preserve">五、公告信息</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1.本公告在江苏政府采购网、苏州市政府采购网发布；</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2.公告期限：自本公告发布之日起3个工作日。</w:t>
      </w:r>
      <w:r/>
    </w:p>
    <w:p>
      <w:pPr>
        <w:ind w:firstLine="422"/>
        <w:spacing w:line="360" w:lineRule="auto"/>
        <w:rPr>
          <w:b/>
          <w:bCs/>
          <w:color w:val="auto"/>
          <w:szCs w:val="21"/>
          <w:highlight w:val="none"/>
        </w:rPr>
      </w:pPr>
      <w:r>
        <w:rPr>
          <w:rFonts w:hint="eastAsia" w:ascii="宋体" w:hAnsi="宋体"/>
          <w:b/>
          <w:color w:val="auto"/>
          <w:szCs w:val="21"/>
          <w:highlight w:val="none"/>
        </w:rPr>
        <w:t xml:space="preserve">六、</w:t>
      </w:r>
      <w:r>
        <w:rPr>
          <w:rFonts w:hint="eastAsia"/>
          <w:b/>
          <w:bCs/>
          <w:color w:val="auto"/>
          <w:szCs w:val="21"/>
          <w:highlight w:val="none"/>
        </w:rPr>
        <w:t xml:space="preserve">其它补充事宜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1.CA证书办理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w:t>
      </w:r>
      <w:r>
        <w:rPr>
          <w:rFonts w:hint="eastAsia" w:ascii="宋体" w:hAnsi="宋体" w:cs="宋体"/>
          <w:bCs/>
          <w:color w:val="auto"/>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2.参与采购活动</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3.电子投标准备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在系统操作过程中如有疑问，请按以下方式联系：</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注册咨询：18261002950；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CA技术咨询电话：400-608-6099；</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签章使用问题：025-83633811、025-83633812、15380932027、15371015030；</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6.本项目以电子投标文件的内容为准，不再收取纸质投标文件及相关原件等纸质材料。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7.投标人在参加政府采购活动时须遵守《昆山市政府采购供应商诚信管理办法》的相关规定。</w:t>
      </w:r>
      <w:r/>
    </w:p>
    <w:p>
      <w:pPr>
        <w:ind w:firstLine="422"/>
        <w:spacing w:line="360" w:lineRule="auto"/>
        <w:rPr>
          <w:rFonts w:ascii="宋体" w:hAnsi="宋体"/>
          <w:color w:val="auto"/>
          <w:szCs w:val="21"/>
          <w:highlight w:val="none"/>
        </w:rPr>
      </w:pPr>
      <w:r>
        <w:rPr>
          <w:rFonts w:hint="eastAsia" w:ascii="宋体" w:hAnsi="宋体"/>
          <w:b/>
          <w:color w:val="auto"/>
          <w:szCs w:val="21"/>
          <w:highlight w:val="none"/>
        </w:rPr>
        <w:t xml:space="preserve">七、</w:t>
      </w:r>
      <w:r>
        <w:rPr>
          <w:rFonts w:hint="eastAsia"/>
          <w:b/>
          <w:bCs/>
          <w:color w:val="auto"/>
          <w:szCs w:val="21"/>
          <w:highlight w:val="none"/>
        </w:rPr>
        <w:t xml:space="preserve">凡对本次采购提出询问，请按以下方式联系</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采购人</w:t>
      </w:r>
      <w:r>
        <w:rPr>
          <w:rFonts w:hint="eastAsia" w:ascii="宋体" w:hAnsi="宋体"/>
          <w:color w:val="auto"/>
          <w:szCs w:val="21"/>
          <w:highlight w:val="none"/>
        </w:rPr>
        <w:t xml:space="preserve">：昆山市教育装备与勤工俭学管理中心</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地址：</w:t>
      </w:r>
      <w:r>
        <w:rPr>
          <w:rFonts w:hint="eastAsia" w:ascii="宋体" w:hAnsi="宋体"/>
          <w:color w:val="auto"/>
          <w:szCs w:val="21"/>
          <w:highlight w:val="none"/>
          <w:lang w:val="en-US" w:eastAsia="zh-CN"/>
        </w:rPr>
        <w:t xml:space="preserve">娄苑路171号</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联系人：</w:t>
      </w:r>
      <w:r>
        <w:rPr>
          <w:rFonts w:hint="eastAsia" w:ascii="宋体" w:hAnsi="宋体"/>
          <w:color w:val="auto"/>
          <w:szCs w:val="21"/>
          <w:highlight w:val="none"/>
          <w:lang w:val="en-US" w:eastAsia="zh-CN"/>
        </w:rPr>
        <w:t xml:space="preserve">张胤</w:t>
      </w:r>
      <w:r>
        <w:rPr>
          <w:rFonts w:ascii="宋体" w:hAnsi="宋体"/>
          <w:color w:val="auto"/>
          <w:szCs w:val="21"/>
          <w:highlight w:val="none"/>
        </w:rPr>
        <w:tab/>
      </w:r>
      <w:r>
        <w:rPr>
          <w:rFonts w:hint="eastAsia" w:ascii="宋体" w:hAnsi="宋体"/>
          <w:color w:val="auto"/>
          <w:szCs w:val="21"/>
          <w:highlight w:val="none"/>
        </w:rPr>
        <w:t xml:space="preserve">    </w:t>
      </w:r>
      <w:r>
        <w:rPr>
          <w:rFonts w:ascii="宋体" w:hAnsi="宋体"/>
          <w:color w:val="auto"/>
          <w:szCs w:val="21"/>
          <w:highlight w:val="none"/>
        </w:rPr>
        <w:t xml:space="preserve">  </w:t>
      </w:r>
      <w:r/>
    </w:p>
    <w:p>
      <w:pPr>
        <w:ind w:right="-315"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联系电话：</w:t>
      </w:r>
      <w:r>
        <w:rPr>
          <w:rFonts w:hint="eastAsia" w:ascii="宋体" w:hAnsi="宋体"/>
          <w:color w:val="auto"/>
          <w:szCs w:val="21"/>
          <w:highlight w:val="none"/>
          <w:lang w:val="en-US" w:eastAsia="zh-CN"/>
        </w:rPr>
        <w:t xml:space="preserve">0512-36839612</w:t>
      </w:r>
      <w:r/>
    </w:p>
    <w:p>
      <w:pPr>
        <w:ind w:right="-315" w:firstLine="412"/>
        <w:spacing w:line="360" w:lineRule="auto"/>
        <w:rPr>
          <w:rFonts w:ascii="宋体" w:hAnsi="宋体"/>
          <w:color w:val="auto"/>
          <w:szCs w:val="21"/>
          <w:highlight w:val="none"/>
        </w:rPr>
      </w:pPr>
      <w:r>
        <w:rPr>
          <w:rFonts w:hint="eastAsia" w:ascii="宋体" w:hAnsi="宋体"/>
          <w:color w:val="auto"/>
          <w:szCs w:val="21"/>
          <w:highlight w:val="none"/>
        </w:rPr>
        <w:t xml:space="preserve">2、招标代理机构名称：苏州宇恩项目咨询有限公司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地址： 昆山市玉山镇萧林路1999号5号楼A区11楼   </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联系人：薛媛媛、姜晓明</w:t>
      </w:r>
      <w:r/>
    </w:p>
    <w:p>
      <w:pPr>
        <w:ind w:right="-315" w:firstLine="420"/>
        <w:spacing w:line="360" w:lineRule="auto"/>
        <w:rPr>
          <w:rFonts w:ascii="宋体" w:hAnsi="宋体"/>
          <w:color w:val="auto"/>
          <w:szCs w:val="21"/>
          <w:highlight w:val="none"/>
        </w:rPr>
      </w:pPr>
      <w:r>
        <w:rPr>
          <w:rFonts w:hint="eastAsia" w:ascii="宋体" w:hAnsi="宋体"/>
          <w:color w:val="auto"/>
          <w:szCs w:val="21"/>
          <w:highlight w:val="none"/>
        </w:rPr>
        <w:t xml:space="preserve">联系电话：0512-57383089 </w:t>
      </w:r>
      <w:bookmarkStart w:id="90" w:name="_GoBack"/>
      <w:r/>
      <w:bookmarkEnd w:id="90"/>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八、</w:t>
      </w:r>
      <w:r>
        <w:rPr>
          <w:rFonts w:hint="eastAsia" w:ascii="Arial" w:hAnsi="Arial"/>
          <w:b/>
          <w:bCs/>
          <w:color w:val="auto"/>
          <w:szCs w:val="22"/>
          <w:highlight w:val="none"/>
          <w:shd w:val="clear" w:color="auto" w:fill="ffffff"/>
        </w:rPr>
        <w:t xml:space="preserve">供应商诚信管理：</w:t>
      </w:r>
      <w:r/>
    </w:p>
    <w:p>
      <w:pPr>
        <w:ind w:right="-252" w:firstLine="413"/>
        <w:spacing w:line="360" w:lineRule="auto"/>
        <w:rPr>
          <w:rFonts w:ascii="宋体" w:hAnsi="宋体"/>
          <w:b/>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ascii="宋体" w:hAnsi="宋体"/>
          <w:b/>
          <w:color w:val="auto"/>
          <w:szCs w:val="22"/>
          <w:highlight w:val="none"/>
        </w:rPr>
      </w:pPr>
      <w:r/>
      <w:bookmarkStart w:id="7" w:name="_Toc35393626"/>
      <w:r>
        <w:rPr>
          <w:rFonts w:hint="eastAsia" w:ascii="宋体" w:hAnsi="宋体"/>
          <w:b/>
          <w:color w:val="auto"/>
          <w:szCs w:val="22"/>
          <w:highlight w:val="none"/>
        </w:rPr>
        <w:t xml:space="preserve">十、其他补充事宜</w:t>
      </w:r>
      <w:bookmarkEnd w:id="7"/>
      <w:r/>
      <w:r/>
    </w:p>
    <w:p>
      <w:pPr>
        <w:ind w:firstLine="420"/>
        <w:spacing w:line="360" w:lineRule="auto"/>
        <w:rPr>
          <w:rFonts w:ascii="宋体" w:hAnsi="宋体"/>
          <w:color w:val="auto"/>
          <w:szCs w:val="22"/>
          <w:highlight w:val="none"/>
        </w:rPr>
      </w:pPr>
      <w:r/>
      <w:bookmarkStart w:id="8" w:name="_Toc35393796"/>
      <w:r/>
      <w:bookmarkEnd w:id="8"/>
      <w:r>
        <w:rPr>
          <w:rFonts w:hint="eastAsia" w:ascii="宋体" w:hAnsi="宋体"/>
          <w:color w:val="auto"/>
          <w:szCs w:val="22"/>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szCs w:val="22"/>
          <w:highlight w:val="none"/>
        </w:rPr>
        <w:t xml:space="preserve"> </w:t>
      </w:r>
      <w:r/>
    </w:p>
    <w:p>
      <w:pPr>
        <w:ind w:right="-252" w:firstLine="420"/>
        <w:spacing w:line="360" w:lineRule="auto"/>
        <w:rPr>
          <w:rFonts w:ascii="宋体" w:hAnsi="宋体"/>
          <w:color w:val="auto"/>
          <w:szCs w:val="21"/>
          <w:highlight w:val="none"/>
        </w:rPr>
      </w:pPr>
      <w:r>
        <w:rPr>
          <w:rFonts w:ascii="宋体" w:hAnsi="宋体"/>
          <w:color w:val="auto"/>
          <w:szCs w:val="21"/>
          <w:highlight w:val="none"/>
        </w:rPr>
      </w:r>
      <w:r/>
    </w:p>
    <w:p>
      <w:pPr>
        <w:ind w:right="-252" w:firstLine="420"/>
        <w:spacing w:line="360" w:lineRule="auto"/>
        <w:rPr>
          <w:rFonts w:ascii="宋体" w:hAnsi="宋体"/>
          <w:color w:val="auto"/>
          <w:szCs w:val="21"/>
          <w:highlight w:val="none"/>
        </w:rPr>
      </w:pPr>
      <w:r>
        <w:rPr>
          <w:rFonts w:ascii="宋体" w:hAnsi="宋体"/>
          <w:color w:val="auto"/>
          <w:szCs w:val="21"/>
          <w:highlight w:val="none"/>
        </w:rPr>
      </w:r>
      <w:r/>
    </w:p>
    <w:p>
      <w:pPr>
        <w:ind w:right="-252"/>
        <w:jc w:val="right"/>
        <w:spacing w:line="360" w:lineRule="auto"/>
        <w:rPr>
          <w:rFonts w:ascii="宋体" w:hAnsi="宋体"/>
          <w:color w:val="auto"/>
          <w:szCs w:val="22"/>
          <w:highlight w:val="none"/>
        </w:rPr>
      </w:pPr>
      <w:r>
        <w:rPr>
          <w:rFonts w:hint="eastAsia" w:ascii="宋体" w:hAnsi="宋体"/>
          <w:color w:val="auto"/>
          <w:szCs w:val="22"/>
          <w:highlight w:val="none"/>
        </w:rPr>
        <w:t xml:space="preserve">苏州宇恩项目咨询有限公司</w:t>
      </w:r>
      <w:r/>
    </w:p>
    <w:p>
      <w:pPr>
        <w:ind w:right="-252"/>
        <w:jc w:val="center"/>
        <w:spacing w:line="360" w:lineRule="auto"/>
        <w:rPr>
          <w:rFonts w:ascii="宋体" w:hAnsi="宋体"/>
          <w:color w:val="ff0000"/>
          <w:szCs w:val="22"/>
          <w:highlight w:val="none"/>
        </w:rPr>
      </w:pPr>
      <w:r>
        <w:rPr>
          <w:rFonts w:hint="eastAsia" w:ascii="宋体" w:hAnsi="宋体"/>
          <w:color w:val="auto"/>
          <w:szCs w:val="22"/>
          <w:highlight w:val="none"/>
        </w:rPr>
        <w:t xml:space="preserve">                                                         </w:t>
      </w:r>
      <w:r>
        <w:rPr>
          <w:rFonts w:hint="eastAsia" w:ascii="宋体" w:hAnsi="宋体"/>
          <w:color w:val="ff0000"/>
          <w:szCs w:val="22"/>
          <w:highlight w:val="none"/>
        </w:rPr>
        <w:t xml:space="preserve"> 2025年</w:t>
      </w:r>
      <w:r>
        <w:rPr>
          <w:rFonts w:hint="eastAsia" w:ascii="宋体" w:hAnsi="宋体"/>
          <w:color w:val="ff0000"/>
          <w:szCs w:val="22"/>
          <w:highlight w:val="none"/>
          <w:lang w:val="en-US" w:eastAsia="zh-CN"/>
        </w:rPr>
        <w:t xml:space="preserve">10</w:t>
      </w:r>
      <w:r>
        <w:rPr>
          <w:rFonts w:ascii="宋体" w:hAnsi="宋体"/>
          <w:color w:val="ff0000"/>
          <w:szCs w:val="22"/>
          <w:highlight w:val="none"/>
        </w:rPr>
        <w:t xml:space="preserve">月</w:t>
      </w:r>
      <w:r>
        <w:rPr>
          <w:rFonts w:hint="eastAsia" w:ascii="宋体" w:hAnsi="宋体"/>
          <w:color w:val="ff0000"/>
          <w:szCs w:val="22"/>
          <w:highlight w:val="none"/>
          <w:lang w:val="en-US" w:eastAsia="zh-CN"/>
        </w:rPr>
        <w:t xml:space="preserve">17</w:t>
      </w:r>
      <w:r>
        <w:rPr>
          <w:rFonts w:ascii="宋体" w:hAnsi="宋体"/>
          <w:color w:val="ff0000"/>
          <w:szCs w:val="22"/>
          <w:highlight w:val="none"/>
        </w:rPr>
        <w:t xml:space="preserve">日</w:t>
      </w:r>
      <w:r/>
    </w:p>
    <w:p>
      <w:pPr>
        <w:rPr>
          <w:rStyle w:val="1050"/>
          <w:color w:val="auto"/>
          <w:sz w:val="32"/>
          <w:szCs w:val="32"/>
          <w:highlight w:val="none"/>
        </w:rPr>
      </w:pPr>
      <w:r>
        <w:rPr>
          <w:color w:val="auto"/>
          <w:sz w:val="32"/>
          <w:szCs w:val="32"/>
          <w:highlight w:val="none"/>
        </w:rPr>
      </w:r>
      <w:r/>
    </w:p>
    <w:p>
      <w:pPr>
        <w:pStyle w:val="731"/>
        <w:jc w:val="center"/>
        <w:spacing w:line="240" w:lineRule="auto"/>
        <w:rPr>
          <w:rStyle w:val="1050"/>
          <w:b/>
          <w:bCs/>
          <w:color w:val="auto"/>
          <w:sz w:val="32"/>
          <w:szCs w:val="32"/>
          <w:highlight w:val="none"/>
        </w:rPr>
      </w:pPr>
      <w:r/>
      <w:bookmarkStart w:id="9" w:name="_Toc166488919"/>
      <w:r>
        <w:rPr>
          <w:rStyle w:val="1050"/>
          <w:rFonts w:hint="eastAsia"/>
          <w:b/>
          <w:bCs/>
          <w:color w:val="auto"/>
          <w:sz w:val="32"/>
          <w:szCs w:val="32"/>
          <w:highlight w:val="none"/>
        </w:rPr>
        <w:t xml:space="preserve">第二章</w:t>
      </w:r>
      <w:bookmarkEnd w:id="3"/>
      <w:r/>
      <w:bookmarkEnd w:id="4"/>
      <w:r/>
      <w:bookmarkEnd w:id="5"/>
      <w:r/>
      <w:bookmarkEnd w:id="6"/>
      <w:r>
        <w:rPr>
          <w:rStyle w:val="1050"/>
          <w:rFonts w:hint="eastAsia"/>
          <w:b/>
          <w:bCs/>
          <w:color w:val="auto"/>
          <w:sz w:val="32"/>
          <w:szCs w:val="32"/>
          <w:highlight w:val="none"/>
        </w:rPr>
        <w:t xml:space="preserve"> 响应须知</w:t>
      </w:r>
      <w:bookmarkEnd w:id="9"/>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一、采购说明</w:t>
      </w:r>
      <w:r/>
    </w:p>
    <w:p>
      <w:pPr>
        <w:pStyle w:val="74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本谈判文件仅适用于苏州宇恩项目咨询有限公司组织的采购活动。</w:t>
      </w:r>
      <w:r/>
    </w:p>
    <w:p>
      <w:pPr>
        <w:pStyle w:val="74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本次采购活动及因本次采购活动产生的合同受中国法律制约和保护。</w:t>
      </w:r>
      <w:r/>
    </w:p>
    <w:p>
      <w:pPr>
        <w:pStyle w:val="74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本谈判文件的解释权属于苏州宇恩项目咨询有限公司。</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（一）响应文件计量单位和使用文字</w:t>
      </w:r>
      <w:r/>
    </w:p>
    <w:p>
      <w:pPr>
        <w:pStyle w:val="74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1.响应文件中所使用的计量单位，除谈判文件中有特殊要求外，应采用国家法定计量单位。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2.响应文件应使用中文编制，响应文件中必须使用其他文字的，必须附有中文译本，</w:t>
      </w:r>
      <w:r>
        <w:rPr>
          <w:rFonts w:hint="eastAsia" w:ascii="宋体"/>
          <w:color w:val="auto"/>
          <w:szCs w:val="21"/>
          <w:highlight w:val="none"/>
          <w:lang w:val="zh-CN"/>
        </w:rPr>
        <w:t xml:space="preserve">对不同文本响应文件的解释发生异议的，以中文文本为准。</w:t>
      </w:r>
      <w:r>
        <w:rPr>
          <w:rFonts w:hint="eastAsia" w:ascii="宋体" w:hAnsi="宋体"/>
          <w:color w:val="auto"/>
          <w:szCs w:val="21"/>
          <w:highlight w:val="none"/>
        </w:rPr>
        <w:t xml:space="preserve">对于未附有中文译本和中文译本不准确的响应文件，由此引起的对供应商不利后果的，采购代理机构概不负责。</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（二）响应文件编制说明</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供应商应按须知的规定，编制一份电子响应文件，并进行网上投标。</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3</w:t>
      </w:r>
      <w:r>
        <w:rPr>
          <w:rFonts w:ascii="宋体" w:hAnsi="宋体"/>
          <w:color w:val="auto"/>
          <w:highlight w:val="none"/>
        </w:rPr>
        <w:t xml:space="preserve">.</w:t>
      </w:r>
      <w:r>
        <w:rPr>
          <w:rFonts w:hint="eastAsia" w:ascii="宋体" w:hAnsi="宋体"/>
          <w:color w:val="auto"/>
          <w:highlight w:val="none"/>
        </w:rPr>
        <w:t xml:space="preserve">谈判响应文件以中文为准，谈判响应文件的有效期为自谈判之日起</w:t>
      </w:r>
      <w:r>
        <w:rPr>
          <w:rFonts w:hint="eastAsia" w:ascii="宋体" w:hAnsi="宋体"/>
          <w:b/>
          <w:color w:val="auto"/>
          <w:highlight w:val="none"/>
          <w:u w:val="single"/>
        </w:rPr>
        <w:t xml:space="preserve">90</w:t>
      </w:r>
      <w:r>
        <w:rPr>
          <w:rFonts w:hint="eastAsia" w:ascii="宋体" w:hAnsi="宋体"/>
          <w:color w:val="auto"/>
          <w:highlight w:val="none"/>
        </w:rPr>
        <w:t xml:space="preserve">日。</w:t>
      </w:r>
      <w:r/>
    </w:p>
    <w:p>
      <w:pPr>
        <w:ind w:left="425"/>
        <w:spacing w:line="400" w:lineRule="exact"/>
        <w:tabs>
          <w:tab w:val="left" w:pos="720" w:leader="none"/>
        </w:tabs>
        <w:rPr>
          <w:rFonts w:ascii="宋体" w:hAnsi="宋体" w:cs="Arial"/>
          <w:color w:val="auto"/>
          <w:szCs w:val="21"/>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一经谈判，除非谈判响应单位在谈判响应文件中对谈判采购文件的规定或条款有书面偏离或保留，否则应视为其全部接受和遵守。同时无论谈判响应单位是否成交，其谈判响应文件恕不退还。</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（三）响应报价</w:t>
      </w:r>
      <w:r/>
    </w:p>
    <w:p>
      <w:pPr>
        <w:ind w:firstLine="420"/>
        <w:spacing w:line="400" w:lineRule="exact"/>
        <w:rPr>
          <w:rFonts w:ascii="宋体" w:hAnsi="宋体"/>
          <w:color w:val="auto"/>
          <w:highlight w:val="none"/>
        </w:rPr>
      </w:pPr>
      <w:r>
        <w:rPr>
          <w:rFonts w:hint="eastAsia" w:ascii="宋体" w:hAnsi="宋体"/>
          <w:color w:val="auto"/>
          <w:szCs w:val="21"/>
          <w:highlight w:val="none"/>
        </w:rPr>
        <w:t xml:space="preserve">1.</w:t>
      </w:r>
      <w:r>
        <w:rPr>
          <w:rFonts w:ascii="宋体" w:hAnsi="宋体"/>
          <w:color w:val="auto"/>
          <w:highlight w:val="none"/>
        </w:rPr>
        <w:t xml:space="preserve">供应商对本项目的报价应</w:t>
      </w:r>
      <w:r>
        <w:rPr>
          <w:rFonts w:hint="eastAsia" w:ascii="宋体" w:hAnsi="宋体"/>
          <w:color w:val="auto"/>
          <w:highlight w:val="none"/>
        </w:rPr>
        <w:t xml:space="preserve">包括直至完成本项目全部服务内容的所有人力费用、物力费用、验收费及保险、劳保、专利技术、技术支持与人员培训等工作所发生的全部费用以及投标人企业利润、税金和政策性文件规定等一切费用</w:t>
      </w:r>
      <w:r>
        <w:rPr>
          <w:rFonts w:ascii="宋体" w:hAnsi="宋体"/>
          <w:color w:val="auto"/>
          <w:highlight w:val="none"/>
        </w:rPr>
        <w:t xml:space="preserve">。除非因特殊原因并经双方协商同意，供应商不得再要求追加任何费用。同时，除非合同条款中另有规定，否则，供应商所报价格在合同实施期间不因市场变化因素而变动。</w:t>
      </w:r>
      <w:r/>
    </w:p>
    <w:p>
      <w:pPr>
        <w:pStyle w:val="74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2.供应商应按《报价分析表》中的谈判项目计算单价和总价。《报价分析表》中的每一单项均应计算并填写单价和总价，并由法定代表人或被授权人签署。</w:t>
      </w:r>
      <w:r/>
    </w:p>
    <w:p>
      <w:pPr>
        <w:pStyle w:val="74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4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4.响应文件报价中的单价和总价全部采用人民币表示，除非另有规定。</w:t>
      </w:r>
      <w:r/>
    </w:p>
    <w:p>
      <w:pPr>
        <w:pStyle w:val="743"/>
        <w:ind w:firstLine="422"/>
        <w:spacing w:line="400" w:lineRule="exact"/>
        <w:rPr>
          <w:rFonts w:ascii="宋体" w:hAnsi="宋体" w:eastAsia="宋体"/>
          <w:color w:val="auto"/>
          <w:sz w:val="21"/>
          <w:szCs w:val="21"/>
          <w:highlight w:val="none"/>
          <w:u w:val="single"/>
        </w:rPr>
      </w:pPr>
      <w:r>
        <w:rPr>
          <w:rFonts w:ascii="宋体" w:hAnsi="宋体" w:eastAsia="宋体"/>
          <w:b/>
          <w:color w:val="auto"/>
          <w:sz w:val="21"/>
          <w:szCs w:val="21"/>
          <w:highlight w:val="none"/>
        </w:rPr>
        <w:t xml:space="preserve">5.</w:t>
      </w:r>
      <w:r>
        <w:rPr>
          <w:rFonts w:hint="eastAsia"/>
          <w:color w:val="auto"/>
          <w:highlight w:val="none"/>
        </w:rPr>
        <w:t xml:space="preserve"> </w:t>
      </w:r>
      <w:r>
        <w:rPr>
          <w:rFonts w:hint="eastAsia" w:ascii="宋体" w:hAnsi="宋体" w:eastAsia="宋体"/>
          <w:b/>
          <w:color w:val="auto"/>
          <w:sz w:val="21"/>
          <w:szCs w:val="21"/>
          <w:highlight w:val="none"/>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43"/>
        <w:spacing w:line="400" w:lineRule="exact"/>
        <w:rPr>
          <w:rFonts w:ascii="宋体" w:hAnsi="宋体" w:eastAsia="宋体"/>
          <w:color w:val="auto"/>
          <w:sz w:val="21"/>
          <w:szCs w:val="21"/>
          <w:highlight w:val="none"/>
          <w:u w:val="single"/>
        </w:rPr>
      </w:pP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.竞争性</w:t>
      </w:r>
      <w:r>
        <w:rPr>
          <w:rFonts w:ascii="宋体" w:hAnsi="宋体" w:eastAsia="宋体"/>
          <w:color w:val="auto"/>
          <w:sz w:val="21"/>
          <w:szCs w:val="21"/>
          <w:highlight w:val="none"/>
        </w:rPr>
        <w:t xml:space="preserve">谈判采取</w:t>
      </w:r>
      <w:r>
        <w:rPr>
          <w:rFonts w:hint="eastAsia" w:ascii="宋体" w:hAnsi="宋体" w:eastAsia="宋体"/>
          <w:color w:val="auto"/>
          <w:sz w:val="21"/>
          <w:szCs w:val="21"/>
          <w:highlight w:val="none"/>
        </w:rPr>
        <w:t xml:space="preserve">最低评标价法</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即根据质量和服务均能满足采购文件实质性响应要求的前提下，以提出最低报价（以第二次报价为准，且</w:t>
      </w:r>
      <w:r>
        <w:rPr>
          <w:rFonts w:hint="eastAsia" w:ascii="宋体" w:hAnsi="宋体" w:eastAsia="宋体"/>
          <w:b/>
          <w:color w:val="auto"/>
          <w:sz w:val="21"/>
          <w:szCs w:val="21"/>
          <w:highlight w:val="none"/>
        </w:rPr>
        <w:t xml:space="preserve">最后报价时间为10分钟</w:t>
      </w:r>
      <w:r>
        <w:rPr>
          <w:rFonts w:hint="eastAsia" w:ascii="宋体" w:hAnsi="宋体" w:eastAsia="宋体"/>
          <w:color w:val="auto"/>
          <w:sz w:val="21"/>
          <w:szCs w:val="21"/>
          <w:highlight w:val="none"/>
        </w:rPr>
        <w:t xml:space="preserve">）的供应商作为成交供应商。</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（四）响应文件的组成</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1.响应文件</w:t>
      </w:r>
      <w:r>
        <w:rPr>
          <w:rFonts w:hint="eastAsia" w:ascii="宋体" w:hAnsi="宋体" w:cs="Arial"/>
          <w:b/>
          <w:color w:val="auto"/>
          <w:szCs w:val="21"/>
          <w:highlight w:val="none"/>
        </w:rPr>
        <w:t xml:space="preserve">（报价、相关资格部分及技术部分）：</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.1</w:t>
      </w:r>
      <w:r>
        <w:rPr>
          <w:rFonts w:hint="eastAsia" w:ascii="宋体" w:hAnsi="宋体" w:cs="Arial"/>
          <w:color w:val="auto"/>
          <w:szCs w:val="21"/>
          <w:highlight w:val="none"/>
        </w:rPr>
        <w:t xml:space="preserve">封面；</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.2</w:t>
      </w:r>
      <w:r>
        <w:rPr>
          <w:rFonts w:hint="eastAsia" w:ascii="宋体" w:hAnsi="宋体" w:cs="Arial"/>
          <w:color w:val="auto"/>
          <w:szCs w:val="21"/>
          <w:highlight w:val="none"/>
        </w:rPr>
        <w:t xml:space="preserve">开标一览表</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w:t>
      </w:r>
      <w:r>
        <w:rPr>
          <w:rFonts w:hint="eastAsia" w:ascii="宋体" w:hAnsi="宋体"/>
          <w:color w:val="auto"/>
          <w:szCs w:val="21"/>
          <w:highlight w:val="none"/>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olor w:val="auto"/>
          <w:szCs w:val="21"/>
          <w:highlight w:val="none"/>
          <w:lang w:val="zh-CN"/>
        </w:rPr>
        <w:t xml:space="preserve">；</w:t>
      </w:r>
      <w:r/>
    </w:p>
    <w:p>
      <w:pPr>
        <w:ind w:firstLine="420"/>
        <w:spacing w:line="400" w:lineRule="exact"/>
        <w:tabs>
          <w:tab w:val="left" w:pos="720" w:leader="none"/>
        </w:tabs>
        <w:rPr>
          <w:rFonts w:ascii="宋体" w:hAnsi="宋体" w:cs="Arial"/>
          <w:color w:val="auto"/>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4提供法人或者其他组织的营业执照等证明文件、法定代表人身份证明；</w:t>
      </w:r>
      <w:r/>
    </w:p>
    <w:p>
      <w:pPr>
        <w:ind w:firstLine="420"/>
        <w:spacing w:line="400" w:lineRule="exact"/>
        <w:tabs>
          <w:tab w:val="left" w:pos="720" w:leader="none"/>
        </w:tabs>
        <w:rPr>
          <w:rFonts w:ascii="宋体" w:hAnsi="宋体" w:cs="宋体"/>
          <w:color w:val="auto"/>
          <w:highlight w:val="none"/>
        </w:rPr>
      </w:pPr>
      <w:r>
        <w:rPr>
          <w:rFonts w:hint="eastAsia" w:ascii="宋体" w:hAnsi="宋体" w:cs="Arial"/>
          <w:color w:val="auto"/>
          <w:szCs w:val="21"/>
          <w:highlight w:val="none"/>
        </w:rPr>
        <w:t xml:space="preserve">1.5法定代表人授权委托书、被授权人身份证（如有授权）</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ascii="宋体" w:hAnsi="宋体" w:cs="宋体"/>
          <w:color w:val="auto"/>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宋体"/>
          <w:color w:val="auto"/>
          <w:highlight w:val="none"/>
        </w:rPr>
        <w:t xml:space="preserve">1.6</w:t>
      </w:r>
      <w:r>
        <w:rPr>
          <w:rFonts w:hint="eastAsia" w:ascii="宋体" w:hAnsi="宋体" w:cs="Arial"/>
          <w:color w:val="auto"/>
          <w:szCs w:val="21"/>
          <w:highlight w:val="none"/>
          <w:lang w:val="en-US" w:eastAsia="zh-CN"/>
        </w:rPr>
        <w:t xml:space="preserve">响应</w:t>
      </w:r>
      <w:r>
        <w:rPr>
          <w:rFonts w:hint="eastAsia" w:ascii="宋体" w:hAnsi="宋体" w:cs="Arial"/>
          <w:color w:val="auto"/>
          <w:szCs w:val="21"/>
          <w:highlight w:val="none"/>
        </w:rPr>
        <w:t xml:space="preserve">承诺函（格式见第七章）；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1.7</w:t>
      </w:r>
      <w:r>
        <w:rPr>
          <w:rFonts w:ascii="宋体" w:hAnsi="宋体" w:cs="宋体"/>
          <w:color w:val="auto"/>
          <w:highlight w:val="none"/>
        </w:rPr>
        <w:t xml:space="preserve">投标文件</w:t>
      </w:r>
      <w:r>
        <w:rPr>
          <w:rFonts w:hint="eastAsia" w:ascii="宋体" w:hAnsi="宋体" w:cs="宋体"/>
          <w:color w:val="auto"/>
          <w:highlight w:val="none"/>
        </w:rPr>
        <w:t xml:space="preserve">资格证明</w:t>
      </w:r>
      <w:r>
        <w:rPr>
          <w:rFonts w:ascii="宋体" w:hAnsi="宋体" w:cs="宋体"/>
          <w:color w:val="auto"/>
          <w:highlight w:val="none"/>
        </w:rPr>
        <w:t xml:space="preserve">声明函</w:t>
      </w:r>
      <w:r>
        <w:rPr>
          <w:rFonts w:hint="eastAsia" w:ascii="宋体" w:hAnsi="宋体" w:cs="Arial"/>
          <w:color w:val="auto"/>
          <w:szCs w:val="21"/>
          <w:highlight w:val="none"/>
        </w:rPr>
        <w:t xml:space="preserve">（格式见第七章）；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1.8</w:t>
      </w:r>
      <w:r>
        <w:rPr>
          <w:rFonts w:hint="eastAsia" w:ascii="宋体" w:hAnsi="宋体" w:cs="Arial"/>
          <w:color w:val="auto"/>
          <w:szCs w:val="21"/>
          <w:highlight w:val="none"/>
          <w:lang w:val="en-US" w:eastAsia="zh-CN"/>
        </w:rPr>
        <w:t xml:space="preserve">供应商</w:t>
      </w:r>
      <w:r>
        <w:rPr>
          <w:rFonts w:hint="eastAsia" w:ascii="宋体" w:hAnsi="宋体" w:cs="Arial"/>
          <w:color w:val="auto"/>
          <w:szCs w:val="21"/>
          <w:highlight w:val="none"/>
        </w:rPr>
        <w:t xml:space="preserve">情况表（格式见第七章）；</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highlight w:val="none"/>
        </w:rPr>
        <w:t xml:space="preserve">1.9</w:t>
      </w:r>
      <w:r>
        <w:rPr>
          <w:rFonts w:hint="eastAsia" w:ascii="宋体" w:hAnsi="宋体" w:cs="Arial"/>
          <w:color w:val="auto"/>
          <w:szCs w:val="21"/>
          <w:highlight w:val="none"/>
        </w:rPr>
        <w:t xml:space="preserve">招标文件要求的其他相关证明材料。</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2</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资格条件：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2.1</w:t>
      </w:r>
      <w:r>
        <w:rPr>
          <w:rFonts w:hint="eastAsia" w:ascii="宋体" w:hAnsi="宋体"/>
          <w:color w:val="auto"/>
          <w:szCs w:val="21"/>
          <w:highlight w:val="none"/>
        </w:rPr>
        <w:t xml:space="preserve">满足《中华人民共和国政府采购法》第二十二条规定；（提供相关材料）</w:t>
      </w:r>
      <w:r/>
    </w:p>
    <w:p>
      <w:pPr>
        <w:ind w:firstLine="420"/>
        <w:spacing w:line="400" w:lineRule="exact"/>
        <w:tabs>
          <w:tab w:val="left" w:pos="720" w:leader="none"/>
        </w:tabs>
        <w:rPr>
          <w:rFonts w:ascii="宋体" w:hAnsi="宋体"/>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2落实</w:t>
      </w:r>
      <w:r>
        <w:rPr>
          <w:rFonts w:hint="eastAsia" w:ascii="宋体" w:hAnsi="宋体"/>
          <w:color w:val="auto"/>
          <w:szCs w:val="21"/>
          <w:highlight w:val="none"/>
        </w:rPr>
        <w:t xml:space="preserve">政府采购政策</w:t>
      </w:r>
      <w:r>
        <w:rPr>
          <w:rFonts w:hint="eastAsia" w:ascii="宋体" w:hAnsi="宋体"/>
          <w:b/>
          <w:bCs/>
          <w:color w:val="auto"/>
          <w:szCs w:val="21"/>
          <w:highlight w:val="none"/>
        </w:rPr>
        <w:t xml:space="preserve">（以下任选其一）</w:t>
      </w:r>
      <w:r>
        <w:rPr>
          <w:rFonts w:hint="eastAsia" w:ascii="宋体" w:hAnsi="宋体"/>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2</w:t>
      </w:r>
      <w:r>
        <w:rPr>
          <w:rFonts w:ascii="宋体" w:hAnsi="宋体"/>
          <w:color w:val="auto"/>
          <w:szCs w:val="21"/>
          <w:highlight w:val="none"/>
        </w:rPr>
        <w:t xml:space="preserve">.1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2</w:t>
      </w:r>
      <w:r>
        <w:rPr>
          <w:rFonts w:ascii="宋体" w:hAnsi="宋体" w:cs="Arial"/>
          <w:color w:val="auto"/>
          <w:szCs w:val="21"/>
          <w:highlight w:val="none"/>
        </w:rPr>
        <w:t xml:space="preserve">.</w:t>
      </w:r>
      <w:r>
        <w:rPr>
          <w:rFonts w:hint="eastAsia" w:ascii="宋体" w:hAnsi="宋体" w:cs="Arial"/>
          <w:color w:val="auto"/>
          <w:szCs w:val="21"/>
          <w:highlight w:val="none"/>
        </w:rPr>
        <w:t xml:space="preserve">3第一章投标邀请中采购人根据采购项目的特殊要求规定的特定条件证明文件（如有）。</w:t>
      </w:r>
      <w:r/>
    </w:p>
    <w:p>
      <w:pPr>
        <w:ind w:left="425"/>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3</w:t>
      </w:r>
      <w:r>
        <w:rPr>
          <w:rFonts w:ascii="宋体" w:hAnsi="宋体" w:cs="Arial"/>
          <w:b/>
          <w:color w:val="auto"/>
          <w:szCs w:val="21"/>
          <w:highlight w:val="none"/>
        </w:rPr>
        <w:t xml:space="preserve">.</w:t>
      </w:r>
      <w:r>
        <w:rPr>
          <w:rFonts w:hint="eastAsia" w:ascii="宋体" w:hAnsi="宋体" w:cs="Arial"/>
          <w:b/>
          <w:color w:val="auto"/>
          <w:szCs w:val="21"/>
          <w:highlight w:val="none"/>
        </w:rPr>
        <w:t xml:space="preserve">符合性条件</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3.1报价分析表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w:t>
      </w:r>
      <w:r>
        <w:rPr>
          <w:rFonts w:hint="eastAsia" w:ascii="宋体" w:hAnsi="宋体" w:cs="Arial"/>
          <w:color w:val="auto"/>
          <w:szCs w:val="21"/>
          <w:highlight w:val="none"/>
        </w:rPr>
        <w:t xml:space="preserve">2商务偏离表</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3.3技术偏离表</w:t>
      </w:r>
      <w:r/>
    </w:p>
    <w:p>
      <w:pPr>
        <w:numPr>
          <w:ilvl w:val="0"/>
          <w:numId w:val="10"/>
        </w:numPr>
        <w:ind w:firstLine="422"/>
        <w:spacing w:line="400" w:lineRule="exact"/>
        <w:tabs>
          <w:tab w:val="clear" w:pos="312" w:leader="none"/>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价格折扣证明</w:t>
      </w:r>
      <w:r>
        <w:rPr>
          <w:rFonts w:hint="eastAsia" w:ascii="宋体" w:hAnsi="宋体"/>
          <w:b/>
          <w:bCs/>
          <w:color w:val="auto"/>
          <w:szCs w:val="21"/>
          <w:highlight w:val="none"/>
        </w:rPr>
        <w:t xml:space="preserve">（以下任选其一）：</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olor w:val="auto"/>
          <w:szCs w:val="21"/>
          <w:highlight w:val="none"/>
        </w:rPr>
      </w:pPr>
      <w:r>
        <w:rPr>
          <w:rFonts w:hint="eastAsia" w:ascii="宋体" w:hAnsi="宋体"/>
          <w:color w:val="auto"/>
          <w:szCs w:val="21"/>
          <w:highlight w:val="none"/>
        </w:rPr>
        <w:t xml:space="preserve">4.2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w:t>
      </w:r>
      <w:r>
        <w:rPr>
          <w:rFonts w:hint="eastAsia" w:ascii="宋体" w:hAnsi="宋体" w:cs="Arial"/>
          <w:color w:val="auto"/>
          <w:szCs w:val="21"/>
          <w:highlight w:val="none"/>
        </w:rPr>
        <w:t xml:space="preserve">七</w:t>
      </w:r>
      <w:r>
        <w:rPr>
          <w:rFonts w:ascii="宋体" w:hAnsi="宋体" w:cs="Arial"/>
          <w:color w:val="auto"/>
          <w:szCs w:val="21"/>
          <w:highlight w:val="none"/>
        </w:rPr>
        <w:t xml:space="preserve">章）</w:t>
      </w:r>
      <w:r>
        <w:rPr>
          <w:rFonts w:hint="eastAsia" w:ascii="宋体" w:hAnsi="宋体" w:cs="Arial"/>
          <w:color w:val="auto"/>
          <w:szCs w:val="21"/>
          <w:highlight w:val="none"/>
        </w:rPr>
        <w:t xml:space="preserve">；</w:t>
      </w:r>
      <w:r/>
    </w:p>
    <w:p>
      <w:pPr>
        <w:ind w:right="-252" w:firstLine="420"/>
        <w:spacing w:line="400" w:lineRule="exact"/>
        <w:rPr>
          <w:rFonts w:ascii="宋体" w:hAnsi="宋体" w:cs="Arial"/>
          <w:b/>
          <w:bCs/>
          <w:color w:val="auto"/>
          <w:szCs w:val="21"/>
          <w:highlight w:val="none"/>
        </w:rPr>
      </w:pPr>
      <w:r>
        <w:rPr>
          <w:rFonts w:hint="eastAsia" w:ascii="宋体" w:hAnsi="宋体"/>
          <w:color w:val="auto"/>
          <w:szCs w:val="21"/>
          <w:highlight w:val="none"/>
        </w:rPr>
        <w:t xml:space="preserve">4.3</w:t>
      </w:r>
      <w:r>
        <w:rPr>
          <w:rFonts w:hint="eastAsia" w:ascii="宋体" w:hAnsi="宋体" w:cs="Arial"/>
          <w:color w:val="auto"/>
          <w:szCs w:val="21"/>
          <w:highlight w:val="none"/>
        </w:rPr>
        <w:t xml:space="preserve">监狱企业证明文件（如有）。</w:t>
      </w:r>
      <w:r/>
    </w:p>
    <w:p>
      <w:p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numPr>
          <w:ilvl w:val="0"/>
          <w:numId w:val="11"/>
        </w:numPr>
        <w:ind w:firstLine="422"/>
        <w:spacing w:line="400" w:lineRule="exact"/>
        <w:tabs>
          <w:tab w:val="left" w:pos="72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以上“1-4”为资格性、符合性审查等其他必须提供的资料，投标人必须提供并加盖电子公章。否则，投标文件将被认定为未实质性响应。</w:t>
      </w:r>
      <w:r/>
    </w:p>
    <w:p>
      <w:pPr>
        <w:ind w:firstLine="420"/>
        <w:spacing w:line="400" w:lineRule="exact"/>
        <w:rPr>
          <w:rFonts w:ascii="宋体" w:hAnsi="宋体" w:cs="宋体"/>
          <w:b/>
          <w:bCs/>
          <w:color w:val="auto"/>
          <w:szCs w:val="21"/>
          <w:highlight w:val="none"/>
        </w:rPr>
      </w:pPr>
      <w:r>
        <w:rPr>
          <w:rFonts w:hint="eastAsia"/>
          <w:b/>
          <w:color w:val="auto"/>
          <w:szCs w:val="21"/>
          <w:highlight w:val="none"/>
        </w:rPr>
        <w:t xml:space="preserve">（2）</w:t>
      </w:r>
      <w:r>
        <w:rPr>
          <w:b/>
          <w:color w:val="auto"/>
          <w:szCs w:val="21"/>
          <w:highlight w:val="none"/>
        </w:rPr>
        <w:t xml:space="preserve">制作电子</w:t>
      </w:r>
      <w:r>
        <w:rPr>
          <w:rFonts w:hint="eastAsia"/>
          <w:b/>
          <w:color w:val="auto"/>
          <w:szCs w:val="21"/>
          <w:highlight w:val="none"/>
        </w:rPr>
        <w:t xml:space="preserve">响应</w:t>
      </w:r>
      <w:r>
        <w:rPr>
          <w:b/>
          <w:color w:val="auto"/>
          <w:szCs w:val="21"/>
          <w:highlight w:val="none"/>
        </w:rPr>
        <w:t xml:space="preserve">文件时必须与投标文件制作软件目录</w:t>
      </w:r>
      <w:r>
        <w:rPr>
          <w:rFonts w:hint="eastAsia"/>
          <w:b/>
          <w:color w:val="auto"/>
          <w:szCs w:val="21"/>
          <w:highlight w:val="none"/>
        </w:rPr>
        <w:t xml:space="preserve">一一</w:t>
      </w:r>
      <w:r>
        <w:rPr>
          <w:b/>
          <w:color w:val="auto"/>
          <w:szCs w:val="21"/>
          <w:highlight w:val="none"/>
        </w:rPr>
        <w:t xml:space="preserve">对应，</w:t>
      </w:r>
      <w:r>
        <w:rPr>
          <w:rFonts w:hint="eastAsia"/>
          <w:b/>
          <w:color w:val="auto"/>
          <w:szCs w:val="21"/>
          <w:highlight w:val="none"/>
        </w:rPr>
        <w:t xml:space="preserve">并</w:t>
      </w:r>
      <w:r>
        <w:rPr>
          <w:b/>
          <w:color w:val="auto"/>
          <w:szCs w:val="21"/>
          <w:highlight w:val="none"/>
        </w:rPr>
        <w:t xml:space="preserve">将相关资料上传至相应模块，否则将认定相关材料无效。</w:t>
      </w:r>
      <w:r/>
    </w:p>
    <w:p>
      <w:pPr>
        <w:spacing w:line="400" w:lineRule="exact"/>
        <w:tabs>
          <w:tab w:val="left" w:pos="720" w:leader="none"/>
        </w:tabs>
        <w:rPr>
          <w:rFonts w:ascii="宋体" w:hAnsi="宋体"/>
          <w:b/>
          <w:color w:val="auto"/>
          <w:szCs w:val="21"/>
          <w:highlight w:val="none"/>
        </w:rPr>
      </w:pPr>
      <w:r>
        <w:rPr>
          <w:rFonts w:hint="eastAsia" w:ascii="宋体" w:hAnsi="宋体" w:cs="Arial"/>
          <w:b/>
          <w:bCs/>
          <w:color w:val="auto"/>
          <w:szCs w:val="21"/>
          <w:highlight w:val="none"/>
        </w:rPr>
        <w:t xml:space="preserve">（五）</w:t>
      </w:r>
      <w:r>
        <w:rPr>
          <w:rFonts w:hint="eastAsia" w:ascii="宋体" w:hAnsi="宋体"/>
          <w:b/>
          <w:color w:val="auto"/>
          <w:szCs w:val="21"/>
          <w:highlight w:val="none"/>
        </w:rPr>
        <w:t xml:space="preserve">响应文件的撤回和修改</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在提交响应文件的截止时间前，供应商可以撤回或者修改响应文件。</w:t>
      </w:r>
      <w:r/>
    </w:p>
    <w:p>
      <w:pPr>
        <w:spacing w:line="400" w:lineRule="exact"/>
        <w:tabs>
          <w:tab w:val="left" w:pos="720" w:leader="none"/>
        </w:tabs>
        <w:rPr>
          <w:rFonts w:ascii="宋体" w:hAnsi="宋体" w:cs="Arial"/>
          <w:b/>
          <w:bCs/>
          <w:color w:val="auto"/>
          <w:szCs w:val="21"/>
          <w:highlight w:val="none"/>
        </w:rPr>
      </w:pPr>
      <w:r>
        <w:rPr>
          <w:rFonts w:hint="eastAsia" w:ascii="宋体" w:hAnsi="宋体" w:cs="Arial"/>
          <w:b/>
          <w:bCs/>
          <w:color w:val="auto"/>
          <w:szCs w:val="21"/>
          <w:highlight w:val="none"/>
        </w:rPr>
        <w:t xml:space="preserve">（六）投标截止时间</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w:t>
      </w:r>
      <w:r>
        <w:rPr>
          <w:rFonts w:hint="eastAsia" w:ascii="宋体" w:hAnsi="宋体" w:cs="Arial"/>
          <w:color w:val="auto"/>
          <w:szCs w:val="21"/>
          <w:highlight w:val="none"/>
        </w:rPr>
        <w:t xml:space="preserve">电子响应文件必须按《投标邀请函》规定的网上投标截止时间前提交。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2.</w:t>
      </w:r>
      <w:r>
        <w:rPr>
          <w:rFonts w:hint="eastAsia" w:ascii="宋体" w:hAnsi="宋体" w:cs="Arial"/>
          <w:color w:val="auto"/>
          <w:szCs w:val="21"/>
          <w:highlight w:val="none"/>
        </w:rPr>
        <w:t xml:space="preserve">采购人推迟投标截止时间时，应以网上公布的形式，通知供应商，在这种情况下，采购人和供应商的权利和义务将受到新的截止期的约束。</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三、谈判文件说明</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（一）谈判文件的澄清和修改</w:t>
      </w:r>
      <w:r/>
    </w:p>
    <w:p>
      <w:pPr>
        <w:pStyle w:val="74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ascii="宋体" w:hAnsi="宋体"/>
          <w:color w:val="auto"/>
          <w:highlight w:val="none"/>
        </w:rPr>
      </w:pPr>
      <w:r>
        <w:rPr>
          <w:rFonts w:hint="eastAsia" w:ascii="宋体" w:hAnsi="宋体"/>
          <w:color w:val="auto"/>
          <w:highlight w:val="none"/>
        </w:rPr>
        <w:t xml:space="preserve">4.供应商应在</w:t>
      </w:r>
      <w:r>
        <w:rPr>
          <w:rFonts w:hint="eastAsia" w:ascii="宋体" w:hAnsi="宋体"/>
          <w:color w:val="auto"/>
          <w:szCs w:val="21"/>
          <w:highlight w:val="none"/>
        </w:rPr>
        <w:t xml:space="preserve">提交响应文件截止时间</w:t>
      </w:r>
      <w:r>
        <w:rPr>
          <w:rFonts w:hint="eastAsia" w:ascii="宋体" w:hAnsi="宋体"/>
          <w:color w:val="auto"/>
          <w:highlight w:val="none"/>
        </w:rPr>
        <w:t xml:space="preserve">前关注原采购信息发布媒体上有无本项目的补充公告。</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（二）质疑</w:t>
      </w:r>
      <w:r/>
    </w:p>
    <w:p>
      <w:pPr>
        <w:pStyle w:val="743"/>
        <w:spacing w:line="400" w:lineRule="exact"/>
        <w:rPr>
          <w:rFonts w:ascii="宋体" w:hAnsi="宋体" w:eastAsia="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eastAsia="宋体"/>
          <w:color w:val="auto"/>
          <w:sz w:val="21"/>
          <w:szCs w:val="21"/>
          <w:highlight w:val="none"/>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highlight w:val="none"/>
        </w:rPr>
        <w:t xml:space="preserve">http://www.szzyjy.com.cn/kssfzx/034004/034004002/20190929/5beba8e5-100a-4262-89c0-d476cc460507.html</w:t>
      </w:r>
      <w:r>
        <w:rPr>
          <w:rFonts w:hint="eastAsia" w:ascii="宋体" w:hAnsi="宋体" w:eastAsia="宋体"/>
          <w:color w:val="auto"/>
          <w:sz w:val="21"/>
          <w:szCs w:val="21"/>
          <w:highlight w:val="none"/>
        </w:rPr>
        <w:t xml:space="preserve">）。</w:t>
      </w:r>
      <w:r/>
    </w:p>
    <w:p>
      <w:pPr>
        <w:pStyle w:val="74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供应商应当在法定质疑期内一次性提出针对同一采购程序环节的质疑。</w:t>
      </w:r>
      <w:r/>
    </w:p>
    <w:p>
      <w:pPr>
        <w:pStyle w:val="74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采购人、采购代理机构应当在收到供应商书面质疑后七个工作日内作出答复，并以书面形式通知质疑供应商和其他相关供应商。</w:t>
      </w:r>
      <w:r/>
    </w:p>
    <w:p>
      <w:pPr>
        <w:pStyle w:val="74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43"/>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质疑必须以参加投标供应商法定代表人或授权代表（投标文件中所确定的）原件送达的方式提交，否则，招标代理人有权不予受理。</w:t>
      </w:r>
      <w:r/>
    </w:p>
    <w:p>
      <w:pPr>
        <w:pStyle w:val="74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上述应知其权益受到损害之日是指：</w:t>
      </w:r>
      <w:r/>
    </w:p>
    <w:p>
      <w:pPr>
        <w:ind w:left="426"/>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.1</w:t>
      </w:r>
      <w:r>
        <w:rPr>
          <w:rFonts w:hint="eastAsia" w:ascii="宋体" w:hAnsi="宋体" w:cs="Arial"/>
          <w:color w:val="auto"/>
          <w:szCs w:val="21"/>
          <w:highlight w:val="none"/>
        </w:rPr>
        <w:t xml:space="preserve">对招标文件提出质疑的，为投标文件公告期限届满之日起计算；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4.2</w:t>
      </w:r>
      <w:r>
        <w:rPr>
          <w:rFonts w:hint="eastAsia" w:ascii="宋体" w:hAnsi="宋体" w:cs="Arial"/>
          <w:color w:val="auto"/>
          <w:szCs w:val="21"/>
          <w:highlight w:val="none"/>
        </w:rPr>
        <w:t xml:space="preserve">对采购过程提出质疑的，自采购程序环节结束之日起计算；</w:t>
      </w:r>
      <w:r/>
    </w:p>
    <w:p>
      <w:pPr>
        <w:ind w:left="426"/>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4.3</w:t>
      </w:r>
      <w:r>
        <w:rPr>
          <w:rFonts w:hint="eastAsia" w:ascii="宋体" w:hAnsi="宋体" w:cs="Arial"/>
          <w:color w:val="auto"/>
          <w:szCs w:val="21"/>
          <w:highlight w:val="none"/>
        </w:rPr>
        <w:t xml:space="preserve">对成交结果提出质疑的，自成交结果公告期限届满之日起计算。</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　　　　　　　</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.1供应商的姓名或者名称、地址、邮编、联系人及联系电话；</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.2质疑项目名称、编号；</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.3具体、明确的质疑事项和与质疑事项相关的请求；</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.4具体的事实依据及相关证据材料；</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.5必要的法律依据；</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.6提出质疑的日期；</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.7供应商为自然人的，应当由本人签字；供应商为法人或者其他组织的，应当由法定代表人、主要负责人、或者其授权代表签字或者盖章，并加盖公章。</w:t>
      </w:r>
      <w:r/>
    </w:p>
    <w:p>
      <w:pPr>
        <w:ind w:firstLine="420"/>
        <w:spacing w:line="400" w:lineRule="exact"/>
        <w:rPr>
          <w:rFonts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ascii="宋体" w:hAnsi="宋体"/>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400" w:lineRule="exact"/>
        <w:rPr>
          <w:rFonts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ascii="宋体" w:hAnsi="宋体"/>
          <w:color w:val="auto"/>
          <w:highlight w:val="none"/>
        </w:rPr>
      </w:pPr>
      <w:r>
        <w:rPr>
          <w:rFonts w:hint="eastAsia" w:ascii="宋体" w:hAnsi="宋体"/>
          <w:color w:val="auto"/>
          <w:highlight w:val="none"/>
        </w:rPr>
        <w:t xml:space="preserve">7</w:t>
      </w:r>
      <w:r>
        <w:rPr>
          <w:rFonts w:ascii="宋体" w:hAnsi="宋体"/>
          <w:color w:val="auto"/>
          <w:highlight w:val="none"/>
        </w:rPr>
        <w:t xml:space="preserve">.</w:t>
      </w:r>
      <w:r>
        <w:rPr>
          <w:rFonts w:hint="eastAsia" w:ascii="宋体" w:hAnsi="宋体"/>
          <w:color w:val="auto"/>
          <w:highlight w:val="none"/>
        </w:rPr>
        <w:t xml:space="preserve">供应商“依法获取采购文件”的方式为供应商进行系统自行下载采购文件，并打印、保留《投标供应商确认函》，质疑时与质疑函一并提交。</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四、开标和评标</w:t>
      </w:r>
      <w:r/>
    </w:p>
    <w:p>
      <w:pPr>
        <w:spacing w:line="400" w:lineRule="exact"/>
        <w:rPr>
          <w:rFonts w:ascii="宋体" w:hAnsi="宋体"/>
          <w:b/>
          <w:color w:val="auto"/>
          <w:szCs w:val="21"/>
          <w:highlight w:val="none"/>
        </w:rPr>
      </w:pPr>
      <w:r>
        <w:rPr>
          <w:rFonts w:hint="eastAsia" w:ascii="宋体" w:hAnsi="宋体"/>
          <w:b/>
          <w:color w:val="auto"/>
          <w:szCs w:val="21"/>
          <w:highlight w:val="none"/>
        </w:rPr>
        <w:t xml:space="preserve">（一）开标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出现下列情形之一的，将终止竞争性谈判采购活动：</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因情况变化，不再符合规定的竞争性谈判采购方式适用情形的；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在采购过程中符合竞争要求的供应商或者报价未超过采购预算的供应商不足3家的；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4.4</w:t>
      </w:r>
      <w:r>
        <w:rPr>
          <w:rFonts w:hint="eastAsia" w:ascii="宋体" w:hAnsi="宋体"/>
          <w:color w:val="auto"/>
          <w:szCs w:val="21"/>
          <w:highlight w:val="none"/>
        </w:rPr>
        <w:t xml:space="preserve">开评标过程中，如遇到交易中心出现断电、断网或其他不可预见原因导致开评标终止，该项目将做废标处理。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4.5</w:t>
      </w:r>
      <w:r>
        <w:rPr>
          <w:rFonts w:hint="eastAsia" w:ascii="宋体" w:hAnsi="宋体"/>
          <w:color w:val="auto"/>
          <w:szCs w:val="21"/>
          <w:highlight w:val="none"/>
        </w:rPr>
        <w:t xml:space="preserve">出现影响采购公正的违法、违规行为的；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4.6</w:t>
      </w:r>
      <w:r>
        <w:rPr>
          <w:rFonts w:hint="eastAsia" w:ascii="宋体" w:hAnsi="宋体"/>
          <w:color w:val="auto"/>
          <w:szCs w:val="21"/>
          <w:highlight w:val="none"/>
        </w:rPr>
        <w:t xml:space="preserve">供应商的报价均超过了采购预算，采购方不能支付的；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4.7</w:t>
      </w:r>
      <w:r>
        <w:rPr>
          <w:rFonts w:hint="eastAsia" w:ascii="宋体" w:hAnsi="宋体"/>
          <w:color w:val="auto"/>
          <w:szCs w:val="21"/>
          <w:highlight w:val="none"/>
        </w:rPr>
        <w:t xml:space="preserve">因重大变故，采购任务取消的。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w:t>
      </w:r>
      <w:r>
        <w:rPr>
          <w:rFonts w:hint="eastAsia" w:ascii="宋体" w:hAnsi="宋体"/>
          <w:color w:val="auto"/>
          <w:szCs w:val="21"/>
          <w:highlight w:val="none"/>
        </w:rPr>
        <w:t xml:space="preserve"> 废标后，采购人将把废标的理由通知所有供应商 。</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（二）谈判小组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谈判小组的评标工作由采购单位负责组织，具体评标事务由谈判小组负责，并独立履行法律、法规规定的职责。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谈判小组负责具体的评标事务，并独立履行以下职责：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审查响应文件是否符合谈判文件的要求，并作出评价。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可以要求供应商对响应文件有关事项作出解释或澄清。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推荐成交候选供应商名单，或者受采购人委托按照事先确定的办法直接确定可以交单位。</w:t>
      </w:r>
      <w:r/>
    </w:p>
    <w:p>
      <w:pPr>
        <w:ind w:firstLine="420"/>
        <w:spacing w:line="400" w:lineRule="exact"/>
        <w:tabs>
          <w:tab w:val="left" w:pos="720" w:leader="none"/>
        </w:tabs>
        <w:rPr>
          <w:rFonts w:ascii="宋体" w:hAnsi="宋体" w:cs="Arial"/>
          <w:color w:val="auto"/>
          <w:szCs w:val="21"/>
          <w:highlight w:val="none"/>
        </w:rPr>
      </w:pPr>
      <w:r>
        <w:rPr>
          <w:rFonts w:hint="eastAsia" w:ascii="宋体" w:hAnsi="宋体" w:cs="Arial"/>
          <w:color w:val="auto"/>
          <w:szCs w:val="21"/>
          <w:highlight w:val="none"/>
        </w:rPr>
        <w:t xml:space="preserve">3.评标内容的保密</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在评标期间，招标代理人将通过指定联络人与供应商进行联系。</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（三）对响应文件的审核</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采购人或者采购代理人资格证明文件要求进行供应商资格审查，如缺少内容，视为无效投标；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对价格的计算错误按下述原则修正：</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如果单价乘数量不等于总价，应以单价为准修正总价。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大写金额和小写金额不一致的，以大写金额为准。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单价金额小数点有明显错位的，应以总价为准，并修改单价。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如果以文字表示的数据与数字表示的有差别，应以文字为准修正数字。</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对不同文字文本响应文件的解释发生异议的，以中文文本为准。</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2.6</w:t>
      </w:r>
      <w:r>
        <w:rPr>
          <w:rFonts w:hint="eastAsia" w:ascii="宋体" w:hAnsi="宋体"/>
          <w:color w:val="auto"/>
          <w:szCs w:val="21"/>
          <w:highlight w:val="none"/>
        </w:rPr>
        <w:t xml:space="preserve">供应商不同意以上修正，则其投标为无效投标。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谈判小组对响应文件的判定，只依据投标内容本身，不依据开标后的任何外来证明。</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下列响应文件为无效投标：</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与谈判文件有重大偏离。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5.2</w:t>
      </w:r>
      <w:r>
        <w:rPr>
          <w:rFonts w:hint="eastAsia" w:ascii="宋体" w:hAnsi="宋体"/>
          <w:color w:val="auto"/>
          <w:szCs w:val="21"/>
          <w:highlight w:val="none"/>
        </w:rPr>
        <w:t xml:space="preserve">供应商的报价是选择性的。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5.3</w:t>
      </w:r>
      <w:r>
        <w:rPr>
          <w:rFonts w:hint="eastAsia" w:ascii="宋体" w:hAnsi="宋体"/>
          <w:color w:val="auto"/>
          <w:szCs w:val="21"/>
          <w:highlight w:val="none"/>
        </w:rPr>
        <w:t xml:space="preserve">供应商的报价只报了部分内容。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5.4</w:t>
      </w:r>
      <w:r>
        <w:rPr>
          <w:rFonts w:hint="eastAsia" w:ascii="宋体" w:hAnsi="宋体"/>
          <w:color w:val="auto"/>
          <w:szCs w:val="21"/>
          <w:highlight w:val="none"/>
        </w:rPr>
        <w:t xml:space="preserve">投标报价超过预算的。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5.5</w:t>
      </w:r>
      <w:r>
        <w:rPr>
          <w:rFonts w:hint="eastAsia" w:ascii="宋体" w:hAnsi="宋体"/>
          <w:color w:val="auto"/>
          <w:szCs w:val="21"/>
          <w:highlight w:val="none"/>
        </w:rPr>
        <w:t xml:space="preserve">不具备谈判文件中规定的资格要求。</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5.6</w:t>
      </w:r>
      <w:r>
        <w:rPr>
          <w:rFonts w:hint="eastAsia" w:ascii="宋体" w:hAnsi="宋体"/>
          <w:color w:val="auto"/>
          <w:szCs w:val="21"/>
          <w:highlight w:val="none"/>
        </w:rPr>
        <w:t xml:space="preserve">不同供应商的响应文件由同一单位或者个人编制。</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5.7</w:t>
      </w:r>
      <w:r>
        <w:rPr>
          <w:rFonts w:hint="eastAsia" w:ascii="宋体" w:hAnsi="宋体"/>
          <w:color w:val="auto"/>
          <w:szCs w:val="21"/>
          <w:highlight w:val="none"/>
        </w:rPr>
        <w:t xml:space="preserve">不同供应商委托同一单位或者个人办理投标事宜。</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5.8</w:t>
      </w:r>
      <w:r>
        <w:rPr>
          <w:rFonts w:hint="eastAsia" w:ascii="宋体" w:hAnsi="宋体"/>
          <w:color w:val="auto"/>
          <w:szCs w:val="21"/>
          <w:highlight w:val="none"/>
        </w:rPr>
        <w:t xml:space="preserve">不同供应商的响应文件载明的项目管理成员为同一人。</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5.9</w:t>
      </w:r>
      <w:r>
        <w:rPr>
          <w:rFonts w:hint="eastAsia" w:ascii="宋体" w:hAnsi="宋体"/>
          <w:color w:val="auto"/>
          <w:szCs w:val="21"/>
          <w:highlight w:val="none"/>
        </w:rPr>
        <w:t xml:space="preserve">不同供应商的响应文件异常一致。</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5.10</w:t>
      </w:r>
      <w:r>
        <w:rPr>
          <w:rFonts w:hint="eastAsia" w:ascii="宋体" w:hAnsi="宋体"/>
          <w:color w:val="auto"/>
          <w:szCs w:val="21"/>
          <w:highlight w:val="none"/>
        </w:rPr>
        <w:t xml:space="preserve">不同供应商的法定代表人或委托代理人有夫妻、直系血亲关系的。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5.11</w:t>
      </w:r>
      <w:r>
        <w:rPr>
          <w:rFonts w:hint="eastAsia" w:ascii="宋体" w:hAnsi="宋体"/>
          <w:color w:val="auto"/>
          <w:szCs w:val="21"/>
          <w:highlight w:val="none"/>
        </w:rPr>
        <w:t xml:space="preserve">不同供应商的负责人为同一人或者存在控股、管理关系的。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5.12</w:t>
      </w:r>
      <w:r>
        <w:rPr>
          <w:rFonts w:hint="eastAsia" w:ascii="宋体" w:hAnsi="宋体"/>
          <w:color w:val="auto"/>
          <w:szCs w:val="21"/>
          <w:highlight w:val="none"/>
        </w:rPr>
        <w:t xml:space="preserve">没有逐一说明投标产品名称、品牌、规格型号和技术参数，而是直接拷贝谈判文件技术要求的；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5.13</w:t>
      </w:r>
      <w:r>
        <w:rPr>
          <w:rFonts w:hint="eastAsia" w:ascii="宋体" w:hAnsi="宋体"/>
          <w:color w:val="auto"/>
          <w:szCs w:val="21"/>
          <w:highlight w:val="none"/>
        </w:rPr>
        <w:t xml:space="preserve">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5.14</w:t>
      </w:r>
      <w:r>
        <w:rPr>
          <w:rFonts w:hint="eastAsia" w:ascii="宋体" w:hAnsi="宋体"/>
          <w:color w:val="auto"/>
          <w:szCs w:val="21"/>
          <w:highlight w:val="none"/>
        </w:rPr>
        <w:t xml:space="preserve">服务承诺和付款条件未响应招标要求的；</w:t>
      </w:r>
      <w:r/>
    </w:p>
    <w:p>
      <w:pPr>
        <w:ind w:firstLine="420"/>
        <w:spacing w:line="400" w:lineRule="exact"/>
        <w:tabs>
          <w:tab w:val="left" w:pos="720" w:leader="none"/>
        </w:tabs>
        <w:rPr>
          <w:rFonts w:ascii="宋体" w:hAnsi="宋体"/>
          <w:color w:val="auto"/>
          <w:szCs w:val="21"/>
          <w:highlight w:val="none"/>
        </w:rPr>
      </w:pPr>
      <w:r>
        <w:rPr>
          <w:rFonts w:hint="eastAsia" w:ascii="宋体" w:hAnsi="宋体"/>
          <w:color w:val="auto"/>
          <w:szCs w:val="21"/>
          <w:highlight w:val="none"/>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6不符合法律、法规和谈判文件规定的其他实质性要求的。</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5.1</w:t>
      </w:r>
      <w:r>
        <w:rPr>
          <w:rFonts w:hint="eastAsia" w:ascii="宋体" w:hAnsi="宋体"/>
          <w:color w:val="auto"/>
          <w:szCs w:val="21"/>
          <w:highlight w:val="none"/>
        </w:rPr>
        <w:t xml:space="preserve">7谈判小组认定的其它为无效投标的事项。</w:t>
      </w:r>
      <w:r/>
    </w:p>
    <w:p>
      <w:pPr>
        <w:spacing w:line="400" w:lineRule="exact"/>
        <w:rPr>
          <w:rFonts w:ascii="宋体" w:hAnsi="宋体" w:cs="Arial"/>
          <w:b/>
          <w:color w:val="auto"/>
          <w:szCs w:val="21"/>
          <w:highlight w:val="none"/>
        </w:rPr>
      </w:pPr>
      <w:r>
        <w:rPr>
          <w:rFonts w:hint="eastAsia" w:ascii="宋体" w:hAnsi="宋体"/>
          <w:b/>
          <w:color w:val="auto"/>
          <w:szCs w:val="21"/>
          <w:highlight w:val="none"/>
        </w:rPr>
        <w:t xml:space="preserve">（四）响应文件</w:t>
      </w:r>
      <w:r>
        <w:rPr>
          <w:rFonts w:hint="eastAsia" w:ascii="宋体" w:hAnsi="宋体" w:cs="Arial"/>
          <w:b/>
          <w:color w:val="auto"/>
          <w:szCs w:val="21"/>
          <w:highlight w:val="none"/>
        </w:rPr>
        <w:t xml:space="preserve">的澄清</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必要时谈判小组可要求供应商澄清、说明或者更正响应文件以书面形式作出，并应当由法定代表人或其授权代表签字或者加盖公章。</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（五）响应文件的评价</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谈判小组对响应文件是否实质上响应谈判文件要求的响应文件进行评审。</w:t>
      </w:r>
      <w:r/>
    </w:p>
    <w:p>
      <w:pPr>
        <w:ind w:firstLine="420"/>
        <w:spacing w:line="400" w:lineRule="exact"/>
        <w:tabs>
          <w:tab w:val="left" w:pos="720" w:leader="none"/>
        </w:tabs>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评价和比较采用最低评标价法，谈判小组严格按照谈判文件的要求、条件，对供应商所作的实质性响应内容进行评审。</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五、授予合同</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（一）成交单位的确认</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olor w:val="auto"/>
          <w:szCs w:val="21"/>
          <w:highlight w:val="none"/>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43"/>
        <w:jc w:val="both"/>
        <w:spacing w:line="400" w:lineRule="exact"/>
        <w:rPr>
          <w:rFonts w:ascii="宋体" w:hAnsi="宋体" w:eastAsia="宋体" w:cs="Arial"/>
          <w:color w:val="auto"/>
          <w:sz w:val="21"/>
          <w:szCs w:val="21"/>
          <w:highlight w:val="none"/>
        </w:rPr>
      </w:pPr>
      <w:r>
        <w:rPr>
          <w:rFonts w:hint="eastAsia" w:ascii="宋体" w:hAnsi="宋体" w:eastAsia="宋体" w:cs="Arial"/>
          <w:color w:val="auto"/>
          <w:sz w:val="21"/>
          <w:szCs w:val="21"/>
          <w:highlight w:val="none"/>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（二）合同授予标准</w:t>
      </w:r>
      <w:r/>
    </w:p>
    <w:p>
      <w:pPr>
        <w:pStyle w:val="74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确定为成交的供应商必须具有实施本合同的能力和资源。</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（三）成交通知书</w:t>
      </w:r>
      <w:r/>
    </w:p>
    <w:p>
      <w:pPr>
        <w:ind w:firstLine="420"/>
        <w:spacing w:line="400" w:lineRule="exact"/>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成交通知书将成为合同的组成部分。</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（四）合同的签订</w:t>
      </w:r>
      <w:r/>
    </w:p>
    <w:p>
      <w:pPr>
        <w:pStyle w:val="74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成交单位应按成交通知书中规定的期限，与甲方签订合同。</w:t>
      </w:r>
      <w:r/>
    </w:p>
    <w:p>
      <w:pPr>
        <w:pStyle w:val="74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签订合同及合同条款应以谈判文件和成交单位的响应文件为依据，所签订的合同不得对谈判文件和成交供应商响应文件作实质性修改。</w:t>
      </w:r>
      <w:r/>
    </w:p>
    <w:p>
      <w:pPr>
        <w:pStyle w:val="74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采购人不得向成交供应商提出任何不合理的要求作为签订合同的条件，不得与成交供应商私下订立背离合同实质性内容的协议。</w:t>
      </w:r>
      <w:r/>
    </w:p>
    <w:p>
      <w:pPr>
        <w:pStyle w:val="74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spacing w:line="400" w:lineRule="exact"/>
        <w:rPr>
          <w:rFonts w:ascii="宋体" w:hAnsi="宋体" w:cs="Arial"/>
          <w:b/>
          <w:color w:val="auto"/>
          <w:szCs w:val="21"/>
          <w:highlight w:val="none"/>
        </w:rPr>
      </w:pPr>
      <w:r>
        <w:rPr>
          <w:rFonts w:hint="eastAsia" w:ascii="宋体" w:hAnsi="宋体"/>
          <w:b/>
          <w:color w:val="auto"/>
          <w:szCs w:val="21"/>
          <w:highlight w:val="none"/>
          <w:lang w:val="zh-CN"/>
        </w:rPr>
        <w:t xml:space="preserve">六、</w:t>
      </w:r>
      <w:r>
        <w:rPr>
          <w:rFonts w:hint="eastAsia" w:ascii="宋体" w:hAnsi="宋体" w:cs="Arial"/>
          <w:b/>
          <w:color w:val="auto"/>
          <w:szCs w:val="21"/>
          <w:highlight w:val="none"/>
        </w:rPr>
        <w:t xml:space="preserve">诚实信用</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（一）诚实信用</w:t>
      </w:r>
      <w:r/>
    </w:p>
    <w:p>
      <w:pPr>
        <w:pStyle w:val="74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1.</w:t>
      </w:r>
      <w:r>
        <w:rPr>
          <w:rFonts w:hint="eastAsia" w:ascii="宋体" w:hAnsi="宋体" w:eastAsia="宋体" w:cs="Arial"/>
          <w:color w:val="auto"/>
          <w:sz w:val="21"/>
          <w:szCs w:val="21"/>
          <w:highlight w:val="none"/>
        </w:rPr>
        <w:t xml:space="preserve">供应商之间不得相互串通投标报价，不得妨碍其他供应商的公平竞争，不得损害采购人和其他供应商的合法权益。</w:t>
      </w:r>
      <w:r/>
    </w:p>
    <w:p>
      <w:pPr>
        <w:pStyle w:val="74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2.</w:t>
      </w:r>
      <w:r>
        <w:rPr>
          <w:rFonts w:hint="eastAsia" w:ascii="宋体" w:hAnsi="宋体" w:eastAsia="宋体" w:cs="Arial"/>
          <w:color w:val="auto"/>
          <w:sz w:val="21"/>
          <w:szCs w:val="21"/>
          <w:highlight w:val="none"/>
        </w:rPr>
        <w:t xml:space="preserve">供应商不得虚假承诺，否则，按照提供虚假材料谋取中标处理。</w:t>
      </w:r>
      <w:r/>
    </w:p>
    <w:p>
      <w:pPr>
        <w:pStyle w:val="74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3.</w:t>
      </w:r>
      <w:r>
        <w:rPr>
          <w:rFonts w:hint="eastAsia" w:ascii="宋体" w:hAnsi="宋体" w:eastAsia="宋体" w:cs="Arial"/>
          <w:color w:val="auto"/>
          <w:sz w:val="21"/>
          <w:szCs w:val="21"/>
          <w:highlight w:val="none"/>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43"/>
        <w:jc w:val="both"/>
        <w:spacing w:line="400" w:lineRule="exact"/>
        <w:rPr>
          <w:rFonts w:ascii="宋体" w:hAnsi="宋体" w:eastAsia="宋体" w:cs="Arial"/>
          <w:color w:val="auto"/>
          <w:sz w:val="21"/>
          <w:szCs w:val="21"/>
          <w:highlight w:val="none"/>
        </w:rPr>
      </w:pPr>
      <w:r>
        <w:rPr>
          <w:rFonts w:ascii="宋体" w:hAnsi="宋体" w:eastAsia="宋体" w:cs="Arial"/>
          <w:color w:val="auto"/>
          <w:sz w:val="21"/>
          <w:szCs w:val="21"/>
          <w:highlight w:val="none"/>
        </w:rPr>
        <w:t xml:space="preserve">4.</w:t>
      </w:r>
      <w:r>
        <w:rPr>
          <w:rFonts w:hint="eastAsia" w:ascii="宋体" w:hAnsi="宋体" w:eastAsia="宋体" w:cs="Arial"/>
          <w:color w:val="auto"/>
          <w:sz w:val="21"/>
          <w:szCs w:val="21"/>
          <w:highlight w:val="none"/>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七、其他事项</w:t>
      </w:r>
      <w:r/>
    </w:p>
    <w:p>
      <w:pPr>
        <w:spacing w:line="400" w:lineRule="exact"/>
        <w:rPr>
          <w:rFonts w:ascii="宋体" w:hAnsi="宋体" w:cs="Arial"/>
          <w:b/>
          <w:color w:val="auto"/>
          <w:szCs w:val="21"/>
          <w:highlight w:val="none"/>
        </w:rPr>
      </w:pPr>
      <w:r>
        <w:rPr>
          <w:rFonts w:hint="eastAsia" w:ascii="宋体" w:hAnsi="宋体" w:cs="Arial"/>
          <w:b/>
          <w:color w:val="auto"/>
          <w:szCs w:val="21"/>
          <w:highlight w:val="none"/>
        </w:rPr>
        <w:t xml:space="preserve">（一）成交服务费</w:t>
      </w:r>
      <w:r/>
    </w:p>
    <w:p>
      <w:pPr>
        <w:ind w:firstLine="420"/>
        <w:spacing w:line="400" w:lineRule="exact"/>
        <w:tabs>
          <w:tab w:val="left" w:pos="720" w:leader="none"/>
        </w:tabs>
        <w:rPr>
          <w:rFonts w:ascii="宋体" w:hAnsi="宋体" w:cs="Arial"/>
          <w:color w:val="auto"/>
          <w:szCs w:val="21"/>
          <w:highlight w:val="none"/>
        </w:rPr>
      </w:pPr>
      <w:r>
        <w:rPr>
          <w:rFonts w:ascii="宋体" w:hAnsi="宋体" w:cs="Arial"/>
          <w:color w:val="auto"/>
          <w:szCs w:val="21"/>
          <w:highlight w:val="none"/>
        </w:rPr>
        <w:t xml:space="preserve">1.</w:t>
      </w:r>
      <w:r>
        <w:rPr>
          <w:rFonts w:hint="eastAsia" w:ascii="宋体" w:hAnsi="宋体" w:cs="Arial"/>
          <w:color w:val="auto"/>
          <w:szCs w:val="21"/>
          <w:highlight w:val="none"/>
        </w:rPr>
        <w:t xml:space="preserve">成交单位须按规定支付成交服务费，该费用应在合同签订后三天内付清。</w:t>
      </w:r>
      <w:r/>
    </w:p>
    <w:p>
      <w:pPr>
        <w:ind w:firstLine="422"/>
        <w:spacing w:line="400" w:lineRule="exact"/>
        <w:tabs>
          <w:tab w:val="left" w:pos="720" w:leader="none"/>
        </w:tabs>
        <w:rPr>
          <w:rFonts w:hint="eastAsia" w:ascii="宋体" w:hAnsi="宋体" w:eastAsia="宋体" w:cs="Arial"/>
          <w:b/>
          <w:color w:val="auto"/>
          <w:szCs w:val="21"/>
          <w:highlight w:val="none"/>
          <w:lang w:eastAsia="zh-CN"/>
        </w:rPr>
      </w:pPr>
      <w:r>
        <w:rPr>
          <w:rFonts w:ascii="宋体" w:hAnsi="宋体" w:cs="Arial"/>
          <w:b w:val="0"/>
          <w:bCs/>
          <w:color w:val="auto"/>
          <w:sz w:val="21"/>
          <w:szCs w:val="21"/>
          <w:highlight w:val="none"/>
        </w:rPr>
        <w:t xml:space="preserve">2.</w:t>
      </w:r>
      <w:r>
        <w:rPr>
          <w:rFonts w:hint="eastAsia" w:ascii="宋体" w:hAnsi="宋体" w:eastAsia="宋体" w:cs="Arial"/>
          <w:b/>
          <w:color w:val="auto"/>
          <w:szCs w:val="21"/>
          <w:highlight w:val="none"/>
          <w:lang w:val="en-US" w:eastAsia="zh-CN"/>
        </w:rPr>
        <w:t xml:space="preserve">成交</w:t>
      </w:r>
      <w:r>
        <w:rPr>
          <w:rFonts w:hint="eastAsia" w:ascii="宋体" w:hAnsi="宋体" w:eastAsia="宋体" w:cs="Arial"/>
          <w:b/>
          <w:color w:val="auto"/>
          <w:szCs w:val="21"/>
          <w:highlight w:val="none"/>
        </w:rPr>
        <w:t xml:space="preserve">服务费</w:t>
      </w:r>
      <w:r>
        <w:rPr>
          <w:rFonts w:hint="eastAsia" w:ascii="宋体" w:hAnsi="宋体" w:eastAsia="宋体" w:cs="Arial"/>
          <w:b/>
          <w:color w:val="auto"/>
          <w:szCs w:val="21"/>
          <w:highlight w:val="none"/>
          <w:lang w:eastAsia="zh-CN"/>
        </w:rPr>
        <w:t xml:space="preserve">：</w:t>
      </w:r>
      <w:r>
        <w:rPr>
          <w:rFonts w:hint="eastAsia" w:ascii="宋体" w:hAnsi="宋体" w:cs="Arial"/>
          <w:b/>
          <w:color w:val="auto"/>
          <w:szCs w:val="21"/>
          <w:highlight w:val="none"/>
        </w:rPr>
        <w:t xml:space="preserve">按差额累计法收费（按项目预算金额100万元以下，收取1.5%；100-500万元，收取1.1%；500-1000万元，收取0.8%；1000-5000万元，收取0.5%；5000-10000万元，收取0.25%），最低不少于3000元</w:t>
      </w:r>
      <w:r>
        <w:rPr>
          <w:rFonts w:hint="eastAsia" w:ascii="宋体" w:hAnsi="宋体" w:cs="Arial"/>
          <w:b/>
          <w:color w:val="auto"/>
          <w:szCs w:val="21"/>
          <w:highlight w:val="none"/>
          <w:lang w:eastAsia="zh-CN"/>
        </w:rPr>
        <w:t xml:space="preserve">。</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（二）监督</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政府有关监督部门将对招投标全过程进行监督。</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（三）绿色采购</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color w:val="auto"/>
          <w:szCs w:val="21"/>
          <w:highlight w:val="none"/>
        </w:rPr>
        <w:t xml:space="preserve">否则将被认定为未实质性响应招标文件要求。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s="Arial"/>
          <w:b/>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line="400" w:lineRule="exact"/>
        <w:tabs>
          <w:tab w:val="left" w:pos="720" w:leader="none"/>
        </w:tabs>
        <w:rPr>
          <w:rFonts w:ascii="宋体" w:hAnsi="宋体" w:cs="Arial"/>
          <w:b/>
          <w:color w:val="auto"/>
          <w:szCs w:val="21"/>
          <w:highlight w:val="none"/>
        </w:rPr>
      </w:pPr>
      <w:r>
        <w:rPr>
          <w:rFonts w:hint="eastAsia" w:ascii="宋体" w:hAnsi="宋体" w:cs="Arial"/>
          <w:b/>
          <w:color w:val="auto"/>
          <w:szCs w:val="21"/>
          <w:highlight w:val="none"/>
        </w:rPr>
        <w:t xml:space="preserve">（四）未尽事宜</w:t>
      </w:r>
      <w:r/>
    </w:p>
    <w:p>
      <w:pPr>
        <w:ind w:firstLine="422"/>
        <w:spacing w:line="400" w:lineRule="exact"/>
        <w:tabs>
          <w:tab w:val="left" w:pos="720" w:leader="none"/>
        </w:tabs>
        <w:rPr>
          <w:rFonts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按《中华人民共和国政府采购法》及其他有关政府采购的法律法规的的规定执行。</w:t>
      </w:r>
      <w:r/>
    </w:p>
    <w:p>
      <w:pPr>
        <w:ind w:firstLine="422"/>
        <w:spacing w:line="400" w:lineRule="exact"/>
        <w:tabs>
          <w:tab w:val="left" w:pos="720" w:leader="none"/>
        </w:tabs>
        <w:rPr>
          <w:rStyle w:val="1050"/>
          <w:color w:val="auto"/>
          <w:sz w:val="32"/>
          <w:szCs w:val="32"/>
          <w:highlight w:val="none"/>
        </w:rPr>
      </w:pPr>
      <w:r>
        <w:rPr>
          <w:rFonts w:hint="eastAsia" w:ascii="宋体" w:hAnsi="宋体" w:cs="Arial"/>
          <w:b/>
          <w:color w:val="auto"/>
          <w:szCs w:val="21"/>
          <w:highlight w:val="none"/>
        </w:rPr>
        <w:t xml:space="preserve">2.</w:t>
      </w:r>
      <w:r>
        <w:rPr>
          <w:rFonts w:hint="eastAsia" w:ascii="宋体" w:hAnsi="宋体" w:cs="宋体"/>
          <w:b/>
          <w:bCs/>
          <w:color w:val="auto"/>
          <w:szCs w:val="21"/>
          <w:highlight w:val="none"/>
        </w:rPr>
        <w:t xml:space="preserve">成交后成交单位需提供与网上投标文件一致的书面投标文件贰套，用于项目归档。</w:t>
      </w:r>
      <w:bookmarkStart w:id="10" w:name="_Toc166488920"/>
      <w:r/>
      <w:r/>
    </w:p>
    <w:p>
      <w:pPr>
        <w:shd w:val="nil" w:color="auto"/>
        <w:rPr>
          <w:rStyle w:val="1050"/>
          <w:b/>
          <w:bCs/>
          <w:color w:val="auto"/>
          <w:sz w:val="32"/>
          <w:szCs w:val="32"/>
          <w:highlight w:val="none"/>
        </w:rPr>
      </w:pPr>
      <w:r>
        <w:rPr>
          <w:highlight w:val="none"/>
        </w:rPr>
        <w:br w:type="page" w:clear="all"/>
      </w:r>
      <w:r>
        <w:rPr>
          <w:highlight w:val="none"/>
        </w:rPr>
      </w:r>
      <w:r/>
    </w:p>
    <w:p>
      <w:pPr>
        <w:pStyle w:val="731"/>
        <w:jc w:val="center"/>
        <w:spacing w:line="240" w:lineRule="auto"/>
        <w:rPr>
          <w:highlight w:val="none"/>
        </w:rPr>
      </w:pPr>
      <w:r>
        <w:rPr>
          <w:rStyle w:val="1050"/>
          <w:rFonts w:hint="eastAsia"/>
          <w:b/>
          <w:bCs/>
          <w:color w:val="auto"/>
          <w:sz w:val="32"/>
          <w:szCs w:val="32"/>
          <w:highlight w:val="none"/>
        </w:rPr>
        <w:t xml:space="preserve">第三章 响应内容</w:t>
      </w:r>
      <w:bookmarkEnd w:id="10"/>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本章内容为实质性响应项，供应商须在偏离表中如实填写响应情况，如有要求提供材料的，须按要求提供相应材料。偏离表未填写、负偏离、未提供所要求的材料的，将被视为无效响应。</w:t>
      </w:r>
      <w:bookmarkStart w:id="11" w:name="_Toc166488921"/>
      <w:r/>
      <w:bookmarkStart w:id="12" w:name="_Toc477184672"/>
      <w:r/>
      <w:bookmarkStart w:id="13" w:name="_Toc477184531"/>
      <w:r/>
      <w:r/>
    </w:p>
    <w:p>
      <w:pPr>
        <w:spacing w:line="360" w:lineRule="auto"/>
        <w:rPr>
          <w:rFonts w:hint="default"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一、</w:t>
      </w:r>
      <w:r>
        <w:rPr>
          <w:rFonts w:hint="eastAsia" w:ascii="宋体" w:hAnsi="宋体" w:eastAsia="宋体" w:cs="Times New Roman"/>
          <w:b/>
          <w:bCs/>
          <w:color w:val="auto"/>
          <w:szCs w:val="21"/>
          <w:highlight w:val="none"/>
        </w:rPr>
        <w:t xml:space="preserve">项目基本情况</w:t>
      </w:r>
      <w:r>
        <w:rPr>
          <w:rFonts w:hint="eastAsia" w:ascii="宋体" w:hAnsi="宋体" w:eastAsia="宋体" w:cs="Times New Roman"/>
          <w:b/>
          <w:color w:val="auto"/>
          <w:szCs w:val="21"/>
          <w:highlight w:val="none"/>
        </w:rPr>
        <w:t xml:space="preserve">：</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1.项目编号</w:t>
      </w:r>
      <w:r>
        <w:rPr>
          <w:rFonts w:hint="eastAsia" w:ascii="宋体" w:hAnsi="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JSZC-320583-SZYE-T2025-0050</w:t>
      </w:r>
      <w:r>
        <w:rPr>
          <w:rFonts w:hint="eastAsia" w:ascii="宋体" w:hAnsi="宋体" w:eastAsia="宋体" w:cs="Times New Roman"/>
          <w:color w:val="auto"/>
          <w:szCs w:val="21"/>
          <w:highlight w:val="none"/>
        </w:rPr>
        <w:t xml:space="preserve">号；</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b/>
          <w:bCs/>
          <w:color w:val="auto"/>
          <w:szCs w:val="21"/>
          <w:highlight w:val="none"/>
        </w:rPr>
        <w:t xml:space="preserve">2.项目名称：</w:t>
      </w:r>
      <w:r>
        <w:rPr>
          <w:rFonts w:hint="eastAsia" w:ascii="宋体" w:hAnsi="宋体" w:eastAsia="宋体" w:cs="Times New Roman"/>
          <w:color w:val="auto"/>
          <w:szCs w:val="21"/>
          <w:highlight w:val="none"/>
        </w:rPr>
        <w:t xml:space="preserve">江苏省昆山第一中等专业学校教学仪器设备；</w:t>
      </w:r>
      <w:r/>
    </w:p>
    <w:p>
      <w:pPr>
        <w:spacing w:line="360" w:lineRule="auto"/>
        <w:rPr>
          <w:rFonts w:hint="eastAsia" w:ascii="宋体" w:hAnsi="宋体" w:eastAsia="宋体" w:cs="Times New Roman"/>
          <w:b w:val="0"/>
          <w:bCs w:val="0"/>
          <w:color w:val="auto"/>
          <w:szCs w:val="21"/>
          <w:highlight w:val="none"/>
          <w:lang w:eastAsia="zh-CN"/>
        </w:rPr>
      </w:pPr>
      <w:r>
        <w:rPr>
          <w:rFonts w:hint="eastAsia" w:ascii="宋体" w:hAnsi="宋体" w:eastAsia="宋体" w:cs="Times New Roman"/>
          <w:b/>
          <w:bCs/>
          <w:color w:val="auto"/>
          <w:szCs w:val="21"/>
          <w:highlight w:val="none"/>
        </w:rPr>
        <w:t xml:space="preserve">3.交付期：</w:t>
      </w:r>
      <w:r>
        <w:rPr>
          <w:rFonts w:hint="eastAsia" w:ascii="宋体" w:hAnsi="宋体" w:eastAsia="宋体" w:cs="Times New Roman"/>
          <w:b w:val="0"/>
          <w:bCs w:val="0"/>
          <w:color w:val="auto"/>
          <w:szCs w:val="21"/>
          <w:highlight w:val="none"/>
        </w:rPr>
        <w:t xml:space="preserve">同签订生效后</w:t>
      </w:r>
      <w:r>
        <w:rPr>
          <w:rFonts w:hint="eastAsia" w:ascii="宋体" w:hAnsi="宋体" w:cs="Times New Roman"/>
          <w:b w:val="0"/>
          <w:bCs w:val="0"/>
          <w:color w:val="auto"/>
          <w:szCs w:val="21"/>
          <w:highlight w:val="none"/>
          <w:lang w:val="en-US" w:eastAsia="zh-CN"/>
        </w:rPr>
        <w:t xml:space="preserve">20</w:t>
      </w:r>
      <w:r>
        <w:rPr>
          <w:rFonts w:hint="eastAsia" w:ascii="宋体" w:hAnsi="宋体" w:eastAsia="宋体" w:cs="Times New Roman"/>
          <w:b w:val="0"/>
          <w:bCs w:val="0"/>
          <w:color w:val="auto"/>
          <w:szCs w:val="21"/>
          <w:highlight w:val="none"/>
        </w:rPr>
        <w:t xml:space="preserve">天内完成供货安装调试，并能通过采购方验收，交付采购方使用</w:t>
      </w:r>
      <w:r>
        <w:rPr>
          <w:rFonts w:hint="eastAsia" w:ascii="宋体" w:hAnsi="宋体" w:eastAsia="宋体" w:cs="Times New Roman"/>
          <w:b w:val="0"/>
          <w:bCs w:val="0"/>
          <w:color w:val="auto"/>
          <w:szCs w:val="21"/>
          <w:highlight w:val="none"/>
          <w:lang w:eastAsia="zh-CN"/>
        </w:rPr>
        <w:t xml:space="preserve">；</w:t>
      </w:r>
      <w:r/>
    </w:p>
    <w:p>
      <w:pPr>
        <w:spacing w:line="360" w:lineRule="auto"/>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4.质保期：</w:t>
      </w:r>
      <w:r>
        <w:rPr>
          <w:rFonts w:hint="eastAsia" w:ascii="宋体" w:hAnsi="宋体" w:eastAsia="宋体" w:cs="Times New Roman"/>
          <w:b w:val="0"/>
          <w:bCs w:val="0"/>
          <w:color w:val="auto"/>
          <w:szCs w:val="21"/>
          <w:highlight w:val="none"/>
        </w:rPr>
        <w:t xml:space="preserve">1年，自验收合格之日起算。</w:t>
      </w:r>
      <w:r/>
    </w:p>
    <w:p>
      <w:pPr>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二、</w:t>
      </w:r>
      <w:r>
        <w:rPr>
          <w:rFonts w:hint="eastAsia" w:ascii="宋体" w:hAnsi="宋体" w:eastAsia="宋体" w:cs="Times New Roman"/>
          <w:b/>
          <w:bCs/>
          <w:color w:val="auto"/>
          <w:szCs w:val="21"/>
          <w:highlight w:val="none"/>
          <w:lang w:val="en-US" w:eastAsia="zh-CN"/>
        </w:rPr>
        <w:t xml:space="preserve">采购清单及要求</w:t>
      </w:r>
      <w:r>
        <w:rPr>
          <w:rFonts w:hint="eastAsia" w:ascii="宋体" w:hAnsi="宋体" w:eastAsia="宋体" w:cs="Times New Roman"/>
          <w:b/>
          <w:bCs/>
          <w:color w:val="auto"/>
          <w:szCs w:val="21"/>
          <w:highlight w:val="none"/>
        </w:rPr>
        <w:t xml:space="preserve">（招标内容及参数中涉及的品牌参数型号仅供参考，所投产品及参数不得低于招标文件要求）：</w:t>
      </w:r>
      <w:r/>
    </w:p>
    <w:p>
      <w:pPr>
        <w:keepLines w:val="0"/>
        <w:keepNext w:val="0"/>
        <w:pageBreakBefore w:val="0"/>
        <w:spacing w:line="360" w:lineRule="auto"/>
        <w:rPr>
          <w:rFonts w:hint="eastAsia" w:ascii="Times New Roman" w:hAnsi="Times New Roman" w:eastAsia="宋体" w:cs="Times New Roman"/>
          <w:b w:val="0"/>
          <w:bCs w:val="0"/>
          <w:color w:val="auto"/>
          <w:highlight w:val="none"/>
          <w:lang w:val="en-US" w:eastAsia="zh-CN"/>
        </w:rPr>
      </w:pPr>
      <w:r>
        <w:rPr>
          <w:rFonts w:hint="eastAsia" w:ascii="Times New Roman" w:hAnsi="Times New Roman" w:eastAsia="宋体" w:cs="Times New Roman"/>
          <w:b/>
          <w:bCs/>
          <w:color w:val="auto"/>
          <w:highlight w:val="none"/>
        </w:rPr>
        <w:t xml:space="preserve">本项目核心产品</w:t>
      </w:r>
      <w:r>
        <w:rPr>
          <w:rFonts w:hint="eastAsia" w:ascii="Times New Roman" w:hAnsi="Times New Roman" w:eastAsia="宋体" w:cs="Times New Roman"/>
          <w:b/>
          <w:bCs/>
          <w:color w:val="auto"/>
          <w:highlight w:val="none"/>
          <w:lang w:val="en-US" w:eastAsia="zh-CN"/>
        </w:rPr>
        <w:t xml:space="preserve">为：</w:t>
      </w:r>
      <w:r>
        <w:rPr>
          <w:rFonts w:hint="eastAsia" w:ascii="Times New Roman" w:hAnsi="Times New Roman" w:eastAsia="宋体" w:cs="Times New Roman"/>
          <w:b w:val="0"/>
          <w:bCs w:val="0"/>
          <w:color w:val="auto"/>
          <w:highlight w:val="none"/>
          <w:lang w:val="en-US" w:eastAsia="zh-CN"/>
        </w:rPr>
        <w:t xml:space="preserve">数控综合实训平台</w:t>
      </w:r>
      <w:r>
        <w:rPr>
          <w:rFonts w:hint="eastAsia" w:cs="Times New Roman"/>
          <w:b w:val="0"/>
          <w:bCs w:val="0"/>
          <w:color w:val="auto"/>
          <w:highlight w:val="none"/>
          <w:lang w:val="en-US" w:eastAsia="zh-CN"/>
        </w:rPr>
        <w:t xml:space="preserve">。</w:t>
      </w:r>
      <w:r/>
    </w:p>
    <w:p>
      <w:pPr>
        <w:numPr>
          <w:ilvl w:val="0"/>
          <w:numId w:val="12"/>
        </w:numPr>
        <w:spacing w:line="360" w:lineRule="auto"/>
        <w:rPr>
          <w:rFonts w:hint="eastAsia" w:ascii="宋体" w:hAnsi="宋体" w:eastAsia="宋体" w:cs="Times New Roman"/>
          <w:b/>
          <w:bCs w:val="0"/>
          <w:color w:val="auto"/>
          <w:sz w:val="21"/>
          <w:szCs w:val="21"/>
          <w:highlight w:val="none"/>
        </w:rPr>
      </w:pPr>
      <w:r>
        <w:rPr>
          <w:rFonts w:hint="eastAsia" w:ascii="宋体" w:hAnsi="宋体" w:eastAsia="宋体" w:cs="Times New Roman"/>
          <w:b/>
          <w:bCs w:val="0"/>
          <w:color w:val="auto"/>
          <w:sz w:val="21"/>
          <w:szCs w:val="21"/>
          <w:highlight w:val="none"/>
        </w:rPr>
        <w:t xml:space="preserve">数控综合实训考核平台技术要求及参数数量、实验室改造建设：6台</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1．数控综合实训考核平台技术要求及参数</w:t>
      </w:r>
      <w:r/>
    </w:p>
    <w:tbl>
      <w:tblPr>
        <w:tblStyle w:val="741"/>
        <w:tblW w:w="91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2" w:type="dxa"/>
          <w:top w:w="80" w:type="dxa"/>
          <w:right w:w="102" w:type="dxa"/>
          <w:bottom w:w="80" w:type="dxa"/>
        </w:tblCellMar>
        <w:tblLook w:val="04A0" w:firstRow="1" w:lastRow="0" w:firstColumn="1" w:lastColumn="0" w:noHBand="0" w:noVBand="1"/>
      </w:tblPr>
      <w:tblGrid>
        <w:gridCol w:w="744"/>
        <w:gridCol w:w="2004"/>
        <w:gridCol w:w="744"/>
        <w:gridCol w:w="744"/>
        <w:gridCol w:w="4204"/>
        <w:gridCol w:w="744"/>
      </w:tblGrid>
      <w:tr>
        <w:trPr>
          <w:jc w:val="center"/>
          <w:trHeight w:val="0"/>
          <w:tblHeader/>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tabs>
                <w:tab w:val="left" w:pos="0" w:leader="none"/>
                <w:tab w:val="left" w:pos="267"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序号</w:t>
            </w:r>
            <w:r/>
          </w:p>
        </w:tc>
        <w:tc>
          <w:tcPr>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jc w:val="center"/>
              <w:spacing w:line="26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数量</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单位</w:t>
            </w:r>
            <w:r/>
          </w:p>
        </w:tc>
        <w:tc>
          <w:tcPr>
            <w:tcBorders>
              <w:top w:val="single" w:color="auto" w:sz="4" w:space="0"/>
              <w:left w:val="single" w:color="auto" w:sz="4" w:space="0"/>
              <w:bottom w:val="single" w:color="auto" w:sz="4" w:space="0"/>
              <w:right w:val="single" w:color="auto" w:sz="4" w:space="0"/>
            </w:tcBorders>
            <w:tcW w:w="4204" w:type="dxa"/>
            <w:vAlign w:val="center"/>
            <w:textDirection w:val="lrTb"/>
            <w:noWrap w:val="false"/>
          </w:tcPr>
          <w:p>
            <w:pPr>
              <w:jc w:val="center"/>
              <w:spacing w:line="26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技术要求及参数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备注</w:t>
            </w:r>
            <w:r/>
          </w:p>
        </w:tc>
      </w:tr>
      <w:tr>
        <w:trPr>
          <w:jc w:val="center"/>
          <w:trHeight w:val="0"/>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numPr>
                <w:ilvl w:val="0"/>
                <w:numId w:val="0"/>
              </w:numPr>
              <w:jc w:val="center"/>
              <w:spacing w:line="260" w:lineRule="exact"/>
              <w:tabs>
                <w:tab w:val="left" w:pos="0" w:leader="none"/>
                <w:tab w:val="left" w:pos="2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004" w:type="dxa"/>
            <w:vAlign w:val="center"/>
            <w:textDirection w:val="lrTb"/>
            <w:noWrap w:val="false"/>
          </w:tcPr>
          <w:p>
            <w:pPr>
              <w:jc w:val="center"/>
              <w:spacing w:line="2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数控综合实训平台</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auto" w:sz="4" w:space="0"/>
              <w:left w:val="single" w:color="auto" w:sz="4" w:space="0"/>
              <w:bottom w:val="single" w:color="auto" w:sz="4" w:space="0"/>
              <w:right w:val="single" w:color="auto" w:sz="4" w:space="0"/>
            </w:tcBorders>
            <w:tcW w:w="4204" w:type="dxa"/>
            <w:vAlign w:val="center"/>
            <w:textDirection w:val="lrTb"/>
            <w:noWrap w:val="false"/>
          </w:tcPr>
          <w:p>
            <w:pPr>
              <w:jc w:val="left"/>
              <w:spacing w:line="2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一、实训平台所含模块：</w:t>
            </w:r>
            <w:r/>
          </w:p>
          <w:p>
            <w:pPr>
              <w:ind w:firstLine="210"/>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1.数控车及加工中心两种真实机床操作模块</w:t>
            </w:r>
            <w:r/>
          </w:p>
          <w:p>
            <w:pPr>
              <w:ind w:firstLine="210"/>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2.数控车及加工中心两种实训虚拟仿真模块</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★3.含数控车及加工中心网络化考核模块</w:t>
            </w:r>
            <w:r/>
          </w:p>
          <w:p>
            <w:pPr>
              <w:ind w:firstLine="210"/>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（1）数控车模块达到江苏省学业水平测试技能考试要求 </w:t>
            </w:r>
            <w:r/>
          </w:p>
          <w:p>
            <w:pPr>
              <w:ind w:firstLine="210"/>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（2）加工中心模块达到考试大纲考试要求</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二、实训平台软件功能：</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★1.实现数控车FANUC 0iT、数控铣FANUC 0iM两种数控系统的真实编程与操作。</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★2.支持通过触控手势操作虚拟机床的缩放、平移和旋转等。</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3.支持数控车床的前后置刀架和四工位、八工位等四种刀架切换；加工中心模块可仿真立式刀库功能库和自动换刀机械手。</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★4.支持基准对刀、手动试切对刀和快速定位对刀功能，具有寻边器、基准芯棒、Z向对刀仪等对刀工具。</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5.零件切削加工仿真，带冷却液、加工声效、铁屑、断刀等特效，具有不同主轴转速不同声效的功能</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6.手动、自动加工模式下实时碰撞检测，如刀具与夹具、机床超行程、主轴不转时刀具与工件的碰撞。 </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★7.可自定义不同材料、类型和形状等参数的刀具，自定义毛坯尺寸，支持导入CAD模型作为毛坯，同时加工中心可导入车床工件，实现综合加工。</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★8.实现程序的预检验和刀具轨迹线生成，提供可视化数控代码调试工具，能够对照轨迹和程序进行修改。</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9.支持UG、PRO-E、Mastercam等CAM软件生成或自行编辑的程序进行模拟加工，并支持程序的导出。</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★10.加工后的模型三位测量和基于刀具切削参数零件粗糙度测量功能，提供虚拟千分尺和游标卡尺等在线测量工具。</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★11.教师机可实现对学生机广播教学、远程操控学生机、实时监控学生机实训操作状态。</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三、实训平台所含硬件：</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★1.车、铣独立可换机床操作面板和操作手轮</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★2.具有带编辑屏幕的完整系统操作面板</w:t>
            </w:r>
            <w:r/>
          </w:p>
          <w:p>
            <w:pPr>
              <w:ind w:firstLine="210"/>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3.21寸红外触摸屏 触摸点与实际显示点的偏差不超过±2.3mm</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★4.I5或以上双核CPU、8G、160G以上硬盘</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★5.平台开机响应低于15s，按键响应时间小于6ms</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6.平台配有输入设备，以及USB端口</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7.机体金属材质，白色外观</w:t>
            </w:r>
            <w:r/>
          </w:p>
          <w:p>
            <w:pPr>
              <w:jc w:val="left"/>
              <w:spacing w:line="2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8.钣金尺寸≦700*550*870mm</w:t>
            </w:r>
            <w:r/>
          </w:p>
          <w:p>
            <w:pPr>
              <w:jc w:val="left"/>
              <w:spacing w:line="26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9.整机重量≦55kg</w:t>
            </w:r>
            <w:r/>
          </w:p>
        </w:tc>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spacing w:line="26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2.数控综合实训考核平台考核功能要求</w:t>
      </w:r>
      <w:r/>
    </w:p>
    <w:tbl>
      <w:tblPr>
        <w:tblStyle w:val="741"/>
        <w:tblW w:w="88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
        <w:gridCol w:w="3348"/>
        <w:gridCol w:w="5087"/>
      </w:tblGrid>
      <w:tr>
        <w:trPr>
          <w:jc w:val="center"/>
          <w:trHeight w:val="512"/>
        </w:trPr>
        <w:tc>
          <w:tcPr>
            <w:tcBorders>
              <w:top w:val="single" w:color="auto" w:sz="4" w:space="0"/>
              <w:left w:val="single" w:color="auto" w:sz="4" w:space="0"/>
              <w:bottom w:val="single" w:color="auto" w:sz="4" w:space="0"/>
              <w:right w:val="single" w:color="auto" w:sz="4" w:space="0"/>
            </w:tcBorders>
            <w:tcW w:w="455"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348"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总体要求</w:t>
            </w:r>
            <w:r/>
          </w:p>
        </w:tc>
        <w:tc>
          <w:tcPr>
            <w:tcBorders>
              <w:top w:val="single" w:color="auto" w:sz="4" w:space="0"/>
              <w:left w:val="single" w:color="auto" w:sz="4" w:space="0"/>
              <w:bottom w:val="single" w:color="auto" w:sz="4" w:space="0"/>
              <w:right w:val="single" w:color="auto" w:sz="4" w:space="0"/>
            </w:tcBorders>
            <w:tcW w:w="5087" w:type="dxa"/>
            <w:vAlign w:val="center"/>
            <w:textDirection w:val="lrTb"/>
            <w:noWrap w:val="false"/>
          </w:tcPr>
          <w:p>
            <w:pPr>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项目具体要求</w:t>
            </w:r>
            <w:r/>
          </w:p>
        </w:tc>
      </w:tr>
      <w:tr>
        <w:trPr>
          <w:jc w:val="center"/>
          <w:trHeight w:val="542"/>
        </w:trPr>
        <w:tc>
          <w:tcPr>
            <w:tcBorders>
              <w:top w:val="single" w:color="auto" w:sz="4" w:space="0"/>
              <w:left w:val="single" w:color="auto" w:sz="4" w:space="0"/>
              <w:bottom w:val="single" w:color="auto" w:sz="4" w:space="0"/>
              <w:right w:val="single" w:color="auto" w:sz="4" w:space="0"/>
            </w:tcBorders>
            <w:tcW w:w="45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348" w:type="dxa"/>
            <w:vAlign w:val="center"/>
            <w:textDirection w:val="lrTb"/>
            <w:noWrap w:val="false"/>
          </w:tcPr>
          <w:p>
            <w:pPr>
              <w:jc w:val="lef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★能够对学生考核过程中所有的操作过程自动记录并作出判断。包括开机启动、机床报警复位、回参考点、安装毛坯和刀具、输入程序、对刀过程、测量、刀具补偿、调头装夹、卸载工件和刀具、关机操作等。</w:t>
            </w:r>
            <w:r/>
          </w:p>
        </w:tc>
        <w:tc>
          <w:tcPr>
            <w:tcBorders>
              <w:top w:val="single" w:color="auto" w:sz="4" w:space="0"/>
              <w:left w:val="single" w:color="auto" w:sz="4" w:space="0"/>
              <w:right w:val="single" w:color="auto" w:sz="4" w:space="0"/>
            </w:tcBorders>
            <w:tcW w:w="5087" w:type="dxa"/>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支持考生信息导入模式，实现对考生信息的自动化管理。</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支持导入和设定评分标准，实现对学生操作步骤和工件质量的自动评分和分析。</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支持理论题库的导入与修改，并在考核过程中从题库中随机抽取试题。</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支持对所有考生成绩的自动输出和分析。</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自动判断所选刀具、工件是否正确。</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自动判断工件装夹是否正确 。</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根据输入的程序自动判断加工参数是否正确。</w:t>
            </w:r>
            <w:r/>
          </w:p>
          <w:p>
            <w:pPr>
              <w:jc w:val="left"/>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根据加工步骤自动判断加工工艺是否正确。</w:t>
            </w:r>
            <w:r/>
          </w:p>
          <w:p>
            <w:pPr>
              <w:rPr>
                <w:rFonts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根据考核过程中考生的综合操作进行评分。</w:t>
            </w:r>
            <w:r/>
          </w:p>
        </w:tc>
      </w:tr>
    </w:tbl>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3.数控综合实训考核平台实验室建设要求</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电气与网络系统改造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建立一套安全、稳定、整洁、易于维护的供电与网络系统，满足未来设备升级和扩容的需求。</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分层布线：地板下空间采用网格桥架，将强电（电源线）与弱电（网线）严格分离，防止电磁干扰。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高密度端口：在每台设备附近或工位旁，预留足够的电源插座和网络信息点。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（2）防静电架空地板铺设</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地板选型：采用 HPL（高压三聚氰胺贴面）防静电地板，规格为 600mm*600mm。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支架高度：考虑到线缆数量和人员可能需要进入地板下检修，建议支架高度不低于 300mm，推荐 350mm-400mm。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防静电系统：地板、支架、横梁均需具备良好的导电性，并与建筑接地系统可靠连接。</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（3）数控综合实训文化建设</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主题墙：在实验室入口或主墙面，打造一面 “数控技术主题墙”，内容可包括：</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专业发展历程时间轴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关键技术与核心设备介绍</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文化展板：沿墙设置 2-4 块展板，内容可轮换：</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安全规范：数控设备安全操作规程、实验室管理制度。</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工匠精神：介绍行业内的技能大师或领军人物的事迹。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前沿技术：展示智能制造、工业 4.0 等相关领域的最新动态。</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（二）增材制造H2D带AMS设备，1台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1.成型技术：熔融沉积成型</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2.打印尺寸：</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单喷嘴模式：≤325*320*325mm³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双喷嘴交集：≤300*320*325mm³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双喷嘴并集：≤350*320*325mm³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3.单机机身尺寸：≤492*514*626mm³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4.产品净重：≤31kg</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5.外壳框架：机壳为铝材和钢材构成，外壳为塑料和玻璃构成</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6.挤出机类型：双挤出轮近程挤出机</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7.挤出机齿轮类型：高强度硬化钢斜齿设计齿轮组，啮合传动过程平稳、寿命更长，适配多种耗材如TPU/PC等耗材，满足各场景打印需要</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8.工具头：全金属热端，硬化钢喷嘴，内置工具头切刀</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9.可打印耗材直径：≤1.75mm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10.喷嘴直径：标配0.4mm口径硬化钢喷嘴；可拓展0.2mm、0.6mm、0.8mm直径喷嘴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11.工具头最大移动速度：≤1000mm/s</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12.工具头最大加速度：≤20000m/s²</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13.热端最大流量：≤65mm³/s</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14.喷嘴温度：≤350℃</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15.热床温度：≤120℃</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16.主动腔温控制:支持</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17.最高可控腔温:：≤65℃</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18.打印平台：标配PEI纹理打印面板，可扩展光面PEI打印面板</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19.调平方式：全自动调平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20.打印方式：U盘/无线网络</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21.联网方式：无线网络</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22.WIFI协议：IEEE802.11a/b/g/n</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23.显示屏：≤5英寸，分辨率≤1280*720，触摸屏</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24.照明灯：支持，通过打印机屏幕控制开关，且可在APP端及PC端远程开关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25.存储：内置8GBEMMC和USB端口</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26.监控摄像头：机箱内置摄像头，分辨率≤1920×1080，具备实时视频流、延时摄影、实时监控打印过程功能。能实时监控打印质量，打印炒面检出，检测打印异常及时暂停打印并自动提醒。</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27.喷嘴摄像头：配备带微距镜头的AI喷嘴摄像头。智能监控系统持续跟踪挤出状态，即时检测耗材堆积、耗材挤出偏差和挤出故障。</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28.灵玑挤出机系统：</w:t>
      </w:r>
      <w:r>
        <w:rPr>
          <w:rFonts w:hint="eastAsia" w:ascii="宋体" w:hAnsi="宋体" w:cs="宋体"/>
          <w:color w:val="auto"/>
          <w:sz w:val="21"/>
          <w:szCs w:val="21"/>
          <w:highlight w:val="none"/>
          <w:lang w:val="en-US" w:eastAsia="zh-CN"/>
        </w:rPr>
        <w:t xml:space="preserve">配备</w:t>
      </w:r>
      <w:r>
        <w:rPr>
          <w:rFonts w:hint="eastAsia" w:ascii="宋体" w:hAnsi="宋体" w:eastAsia="宋体" w:cs="宋体"/>
          <w:color w:val="auto"/>
          <w:sz w:val="21"/>
          <w:szCs w:val="21"/>
          <w:highlight w:val="none"/>
        </w:rPr>
        <w:t xml:space="preserve">PMSM伺服电机实现挤出系统的智能管控，执行20kHz的电流与位置信号采样，用以动态调节挤出扭矩。稳定挤出的同时，检测耗材磨料和堵塞。</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29.皮带自动张紧系统：皮带张紧结构会自动检测机器张力。如果需要调节,无需频繁试错，自动张力调节系统可以让皮带张力迅速恢复到最佳状态</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30.断电续打：断电自动保存数据，支持来电恢复打印，避免因外界因素导致的时间、耗材浪费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31.冷却系统：内置部件冷却风扇、热端风扇、主板风扇、腔体外排风扇、腔体加热循环风扇、辅助部件冷却风扇，通过闭环控制来确保打印模型、打印机箱、电源板和主板的散热</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32.主动流量补偿：利用挤出机上伺服电机的传感能力和喷嘴上的高分辨率涡流传感器，可通过测量喷嘴压力和校准每条耗材的PA参数来精确控制挤出，从而提高表面平滑度和棱角锐利度。</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33.断料检测：挤出机具备断料检测传感器，能够实时检测到材料用尽并暂停打印，支持断料续打</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34.空气净化：高性能滤芯由G3初效过滤器、H12HEPA滤芯和高性能椰壳活性炭滤芯复合而成。复合滤芯能够有效过滤打印过程中产生的颗粒物及气味，显著提升在密闭空间中的使用体验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35.振纹优化：支持自研算法VFA（VerticalFinedArtifacts）振纹优化，降低了打印长直线时电机发出的噪音，并减轻了高速打印时的嗡嗡声。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36.支持耗材：PLA，PETG，TPU，PVA，BVOH，ABS，ASA，PC，PA，PET，PPA-CF，PPA-GF，PPS-CF，PPS-GF</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37.打印文件格式：Gcode</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38.切片支持格式：3mf、stl、stp、step、amf、obj格式</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39.2.0健康管理系统：负责收集和监控整个系统状态，包括：硬件连接、工作状态机械状态，以及打印过程中AI功能检测到的问题（例如炒面缺陷），系统一单检测异常，会通过APP、软件以及打印机屏幕上发送消息提醒用户，每个错误代码都有详细描述和对应的解决方案。</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视觉编码系统：超高精度视觉编码板（选购），结合5µm分辨率光学测量对工具头运动情况进行校准，使能够在整个工作空间内实现一致、可靠的、与运动距离无关的50µm运动精度，精度比前代产品提升一个数量级。</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41.自动轴孔补偿：得益于增强的运动精度和</w:t>
      </w:r>
      <w:r>
        <w:rPr>
          <w:rFonts w:hint="eastAsia" w:ascii="宋体" w:hAnsi="宋体" w:cs="宋体"/>
          <w:color w:val="auto"/>
          <w:sz w:val="21"/>
          <w:szCs w:val="21"/>
          <w:highlight w:val="none"/>
          <w:lang w:val="en-US" w:eastAsia="zh-CN"/>
        </w:rPr>
        <w:t xml:space="preserve">自研软件</w:t>
      </w:r>
      <w:r>
        <w:rPr>
          <w:rFonts w:hint="eastAsia" w:ascii="宋体" w:hAnsi="宋体" w:eastAsia="宋体" w:cs="宋体"/>
          <w:color w:val="auto"/>
          <w:sz w:val="21"/>
          <w:szCs w:val="21"/>
          <w:highlight w:val="none"/>
        </w:rPr>
        <w:t xml:space="preserve">针对特定官方耗材的专门校准，无需繁琐地调整装配间隙，即可次次实现与钢轴等标准件的完美装配。</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42.自动供料系统</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a.支持多色打印，至多可串联4台AMS和8台AMSHT</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b.具备耗材烘干功能，烘干最高温度：≤65℃</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c.配有湿度传感器和密封外壳，配合干燥剂使用可以保证耗材干燥，并显示内部的湿度状态</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d.通过进料缓冲器智能调节送料速度，确保送料和挤出机出料节奏保持同步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e.内置里程轮，可以统计从送出的耗材的长度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f.拥有RFID自动识别自动续料功能，无需手动设置即可实现自动识别耗材颜色类型，同类同型耗材自动识别续料，同时实现耗材余量预估功能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g.支持第三方耗材手动设置自动续料</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h.自适应风门：自动排气有利烘干过程中的除湿和气密密封。</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i.自旋转均匀：烘干烘干过程中，料盘会自动进行转动，让烘干效果更均匀。</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j.陶瓷进料口：维氏硬度达到1200的陶瓷材质进料口，显著提升耐用度。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43.需配套3D打印切片软件，全中文界面，切片、控制打印、操作一体。</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a.操作界面为视窗式界面，载入模型数据后可直观的观看模型</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b.具有一键自动打印布局功能，具有旋转、移动、缩放模型功能，缩放功能支持三轴一起整体缩放，也支持单轴(XYZ中任一轴)的局部缩放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c.可对模型进行错误自动修复，对两个以上的模型进行合并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d.具有打印预览功能，载入模型后一键显示模型打印时间及消耗材料重量，预览可看每一层面的成型、支撑结构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e.具有一键调整工作台与喷嘴高度(即对高)功能，具备一键调整工作台相对喷头的水平(即调平)功能；具有模型打印自动生成支撑结构功能，并可手动增减支撑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f.具有动态层厚打印功能，对同一个模型不同部位使用不同的层厚进行打印，多个模型同时打印时可对各模型独立进行打印参数设置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g.具有局部填充密度功能，可以根据模型受力不同，在不同区域选择不同的填充密度,提高打印模型综合性能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h.具有自动或手动裁切处理功能，手动裁切方式可通过鼠标实现裁切位置的选择</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自有模型社区网站，可提供模型的展示，上传，下载，点赞，收藏，评论，分享等功能，具备网页端模型制作工具，包括但不限于精灵生成器、透光浮雕生成器、桌面收纳盒生成器、图像钥匙扣生成器、参数化模型编辑器、像素拼图生成器、花瓶生成器、标牌定制器等内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45.3D打印设备生产厂家为国家高新技术企业并且通过ISO9001:2016/ISO14001:2015认证。</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46.</w:t>
      </w:r>
      <w:r>
        <w:rPr>
          <w:rFonts w:hint="eastAsia" w:ascii="宋体" w:hAnsi="宋体" w:eastAsia="宋体" w:cs="宋体"/>
          <w:color w:val="auto"/>
          <w:sz w:val="21"/>
          <w:szCs w:val="21"/>
          <w:highlight w:val="none"/>
          <w:lang w:bidi="ar"/>
        </w:rPr>
        <w:t xml:space="preserve">素材支持：配备一个3d素材库，素材库数量不低于1.5万个，涵盖不少于10种类别，素材拥有20个以上特色专题。素材库包含网站及APP，APP同步支持安卓及IOS下载。</w:t>
      </w:r>
      <w:r>
        <w:rPr>
          <w:rFonts w:hint="eastAsia" w:ascii="宋体" w:hAnsi="宋体" w:eastAsia="宋体" w:cs="宋体"/>
          <w:b/>
          <w:bCs/>
          <w:color w:val="auto"/>
          <w:sz w:val="21"/>
          <w:szCs w:val="21"/>
          <w:highlight w:val="none"/>
          <w:lang w:bidi="ar"/>
        </w:rPr>
        <w:t xml:space="preserve">（提供3D素材库集群数字孪生平台系统截图并加盖供应商公章。）</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val="en-US" w:eastAsia="zh-CN"/>
        </w:rPr>
        <w:t xml:space="preserve">47.</w:t>
      </w:r>
      <w:r>
        <w:rPr>
          <w:rFonts w:hint="eastAsia" w:ascii="宋体" w:hAnsi="宋体" w:eastAsia="宋体" w:cs="宋体"/>
          <w:color w:val="auto"/>
          <w:sz w:val="21"/>
          <w:szCs w:val="21"/>
          <w:highlight w:val="none"/>
        </w:rPr>
        <w:t xml:space="preserve">配套同品牌云端三维渲染引擎平台，对扫描的3D数据在云端进行轻量化（轻量最高可达91%）、云渲染及三维分享，开放标准的SDK，不需要安装任何客户端，兼容Windows、MacOS、iOS、Android、Linux等系统，以及Chrome/Safari/Firefox /Edge/IE/QQ等浏览器。支持多种材质系统和多属性材质，以及各种类型光源与开合动画系统，引擎适配VRPN协议，驱动VR/AR硬件； 支持HTML5 WebGL平台，实现对产品的快速三维渲染和展示。（提供彩页加盖供应商公章）</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（三）增材制造X1带AMS设备，3台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1.成型技术：熔融沉积成型（FDM）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2.打印尺寸：≤256*256*256mm³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3.单机机身尺寸：≤389*389*457mm³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4.产品净重：≤14.13kg</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5.外壳框架：钢材框架，外壳为铝材和玻璃构成</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6.工具头：全金属热端，硬化钢喷嘴，硬化钢挤出机齿轮，内置工具头切刀</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7.喷嘴直径：标配0.4mm口径硬化钢喷嘴；可拓展0.2mm、0.6mm、0.8mm直径喷嘴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8.适配4种不同口径喷嘴预设涵盖打印层厚：0.06-0.56mm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9.喷嘴温度：≤300℃</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10.热床温度：≤110℃@220V,≤120℃@110V</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11.工具头最大移动速度：≤500mm/s</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12.工具头最大移动加速度：≤20m/s²</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13.热端最大流速：≤32mm³/s（ABS材料）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14.可打印耗材直径：≤1.75mm</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15.支持耗材：PLA，PETG，TPU，ABS，ASA，PVA，PET，PA，PC，碳/玻璃纤维增强线材；自制Support系列支撑隔离材料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16.高速打印功能：依靠XY轴的震动抑制算法和精准的流量控制实现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17.打印平台：自带低温打印面板，工程材料打印面板，可扩展高温打印面板和PEI纹理打印面板</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18.冷却系统：内置冷却风扇系统，通过闭环控制来确保打印模型、打印机箱和主板的散热</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19.具备多种传感器：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a.工具头配有微激光雷达，实现微米级测量；可实现打印首层扫描、挤出流量校准、辅助热床自动调平等功能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b.机箱内置摄像头，分辨率≤1920×1080，可用于实时远程观看打印视频、延时摄影、打印录像、炒面检测等功能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c.开门检测传感器，智能开门检测</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d.挤出机断料检测传感器，能够检测到材料用尽并暂停打印，支持断料续打</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e.温度传感器：机箱内部配有温度传感器，来展示当前箱内的温度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f.支持断电续打</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20.显示屏：≤5英寸，分辨率≤1280×720，触摸屏</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21.通讯方式：支持Wi-Fi和Bambu-Bus通信（用于打印机和通信），支持触摸屏、手机端APP、电脑端应用三种操作界面；可以通过APP和电脑端应用远程操控打印机和观看打印机视频</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健康管理系统：负责收集和监控整个系统状态，包括：硬件连接、工作状态机械状态，以及打印过程中AI功能检测到的问题（例如炒面缺陷），系统一单检测异常，会通过APP、软件以及打印机屏幕上发送消息提醒用户，每个错误代码都有详细描述和对应的解决方案</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23.自动供料系统可支持多色模型打印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a.具备两级助力，确保能够顺利将耗材丝送入挤出机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b.配有湿度传感器和密封外壳，配合干燥剂使用可以保证耗材干燥，并显示内部的湿度状态</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c.通过进料缓冲器智能调节送料速度，确保送料和挤出机出料节奏保持同步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d.4*4级联，最多支持4台一起使用，可以实现16色打印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e.内置里程轮，可以统计送出的耗材的长度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f.拥有RFID自动识别自动续料功能，无需手动设置即可实现自动识别耗材颜色类型，同类同型耗材自动识别续料，同时实现耗材余量预估功能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g.支持第三方耗材手动设置自动续料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24.需配套3D打印切片软件，全中文界面，切片、控制打印、操作一体。</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a.操作界面为视窗式界面，载入模型数据后可直观的观看模型</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b.具有一键自动打印布局功能，具有旋转、移动、缩放模型功能，缩放功能支持三轴一起整体缩放，也支持单轴(XYZ中任一轴)的局部缩放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c.可对模型进行错误自动修复，对两个以上的模型进行合并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d.具有打印预览功能，载入模型后一键显示模型打印时间及消耗材料重量，预览可看每一层面的成型、支撑结构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e.具有一键调整工作台与喷嘴高度(即对高)功能，具备一键调整工作台相对喷头的水平(即调平)功能；具有模型打印自动生成支撑结构功能，并可手动增减支撑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f.具有动态层厚打印功能，对同一个模型不同部位使用不同的层厚进行打印，多个模型同时打印时可对各模型独立进行打印参数设置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g.具有局部填充密度功能，可以根据模型受力不同，在不同区域选择不同的填充密度,提高打印模型综合性能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h.具有自动或手动裁切处理功能，手动裁切方式可通过鼠标实现裁切位置的选择</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自有模型社区网站，可提供模型的展示，上传，下载，点赞，收藏，评论，分享等功能，具备网页端模型制作工具，包括但不限于精灵生成器、透光浮雕生成器、桌面收纳盒生成器、图像钥匙扣生成器、参数化模型编辑器、像素拼图生成器、花瓶生成器、标牌定制器等内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26.3D打印设备生产厂家为国家高新技术企业并且通过ISO9001:2016/ISO14001:2015认证。</w:t>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（四）增材制造P1带AMS设备，4台</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1.成型技术：熔融沉积成型</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2.打印尺寸：≤256*256*256mm³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3.单机机身尺寸：≤386*389*458mm³</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4.产品净重：≤12.95kg</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5.外壳框架：钢材框架，外壳为塑料和玻璃构成</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6.工具头：全金属热端、钢材挤出机齿轮、不锈钢喷嘴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7.喷嘴最高温度：≤300℃</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8.喷嘴直径：标配0.4mm口径不锈钢喷嘴；可拓展0.2mm、0.6mm、0.8mm直径喷嘴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9.热床最高温度：≤100℃</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10.工具头最大移动速度：≤500mm/s</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11.工具头最大移动加速度：≤20m/s²</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12.热端最大流速：≤32mm³/s（150*150mm单层外壁ABS材料，温度280℃测试）</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13.打印平台：标配双面纹理PEI打印面板，可选低温打印面板、高温打印面板、工程材料打印面板</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14.高速打印功能：依靠XY轴的震动抑制算法和精准的流量控制</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15.支持耗材类型：可支持打印PLA、PETG、TPU、ASA、PVA、PET、尼龙线材（PA)、聚碳酸酯线材（PC)、ABS材料、自制Support系列支撑隔离材料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16.冷却系统：内置冷却风扇系统，通过闭环控制来确保打印模型、打印机箱和主板的散热</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17.传感器：内置低帧率相机，分辨率≤1280x720/0.5fps，支持延时摄影，支持挤出机断料检测，支持断电续打</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18.显示屏：≤2.7英寸，分辨率≤192x64</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19.联网方式：支持Wi-Fi、Bluetooth通信，操作界面支持按键、手机端APP、电脑端应用三种形式；以通过APP和电脑端应用远程操控打印机和观看打印机视频</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健康管理系统：负责收集和监控整个系统状态，包括：硬件连接、工作状态机械状态，以及打印过程中AI功能检测到的问题（例如炒面缺陷），一旦出现任何异常，会通过APP、软件以及打印机屏幕上发送消息提醒用户，每个错误代码都有详细描述和对应的解决方案</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21.自动供料系统可支持多色模型打印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a.具备两级助力，确保能够顺利将耗材丝送入挤出机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b.配有湿度传感器和密封外壳，配合干燥剂使用可以保证耗材干燥，并显示内部的湿度状态</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c.通过进料缓冲器智能调节送料速度，确保送料和挤出机出料节奏保持同步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d.4*4级联，最多支持4台一起使用，可以实现16色打印</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e.内置里程轮，可以统计送出的耗材的长度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f.拥有RFID自动识别自动续料功能，无需手动设置即可实现自动识别耗材颜色类型，同类同型耗材自动识别续料，同时实现耗材余量预估功能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g.支持第三方耗材手动设置自动续料</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22.配套3D打印切片软件，全中文界面，切片、控制打印、操作一体。</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a.操作界面为视窗式界面，载入模型数据后可直观的观看模型</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b.具有一键自动打印布局功能，具有旋转、移动、缩放模型功能，缩放功能支持三轴一起整体缩放，也支持单轴(XYZ中任一轴)的局部缩放</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c.可对模型进行错误自动修复，对两个以上的模型进行合并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d.具有打印预览功能，载入模型后一键显示模型打印时间及消耗材料重量，预览可看每一层面的成型、支撑结构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e.具有一键调整工作台与喷嘴高度(即对高)功能，具备一键调整工作台相对喷头的水平(即调平)功能；具有模型打印自动生成支撑结构功能，并可手动增减支撑</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f.具有动态层厚打印功能，对同一个模型不同部位使用不同的层厚进行打印，多个模型同时打印时可对各模型独立进行打印参数设置</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g.具有局部填充密度功能，可以根据模型受力不同，在不同区域选择不同的填充密度,提高打印模型综合性能</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h.具有自动或手动裁切处理功能，手动裁切方式可通过鼠标实现裁切位置的选择</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自有模型社区网站，可提供模型的展示，上传，下载，点赞，收藏，评论，分享等功能，具备网页端模型制作工具，包括但不限于精灵生成器、透光浮雕生成器、桌面收纳盒生成器、图像钥匙扣生成器、参数化模型编辑器、像素拼图生成器、花瓶生成器、标牌定制器等内容。</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24.3D打印设备生产厂家为国家高新技术企业并且通过ISO9001:2016/ISO14001:2015认证。</w:t>
      </w:r>
      <w:r/>
    </w:p>
    <w:p>
      <w:pPr>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（五）在机检测系统及配套软件，1套</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1.触发式工件检测测头，采用光学信号传输，在机床上用于工件的找正和工件的检测，完成在线检测。</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2.传输角度：150°-环形360°</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3.重量（不计算刀柄）：300g</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4.材质：不锈钢</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5.重复定位精度：1μm</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6.传输距离：1.5-5米，三段可调</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7.红宝石测头直径：φ3mm</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8.测头长度70mm</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9.推荐测量速度：50.0mm/min-2000.0mm/min</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10.触测方向±X，±Y,-Z</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11.最大过程XY±12.5°，Z-5.0mm</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12.触发力：XY方向0.8N,Z方向6.0N</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13.带主轴保护</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14.连续测量300万点</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15.全自动的开启测头模式</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16.在线接收器：</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17.传输角度：120°</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18.材质：合金铝+POM</w:t>
      </w:r>
      <w:r/>
    </w:p>
    <w:p>
      <w:pPr>
        <w:numPr>
          <w:ilvl w:val="0"/>
          <w:numId w:val="0"/>
        </w:numPr>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19.要求进行数据采集、运算、反馈等功能，能够在线实现采集结果与理论值比对，智能判断正确性并根据要求实现自动程序命令补偿磨耗值，能自动或手工设定采集频率，以确保正常切削状态下产品的合格率，实现质量自动化智能管控。</w:t>
      </w:r>
      <w:r>
        <w:rPr>
          <w:rFonts w:hint="eastAsia" w:ascii="宋体" w:hAnsi="宋体" w:eastAsia="宋体" w:cs="宋体"/>
          <w:b/>
          <w:bCs/>
          <w:color w:val="auto"/>
          <w:sz w:val="21"/>
          <w:szCs w:val="21"/>
          <w:highlight w:val="none"/>
          <w:lang w:val="en-US" w:eastAsia="zh-CN" w:bidi="ar-SA"/>
        </w:rPr>
        <w:t xml:space="preserve">（响应文件中需将在机检测系统使用流程完整描述出来，提供不全或者不提供视为不响应）。</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数控设备维修数维与智能化改造接线柜，4套</w:t>
      </w:r>
      <w:r/>
    </w:p>
    <w:p>
      <w:pPr>
        <w:ind w:left="0" w:firstLine="420"/>
        <w:keepLines w:val="0"/>
        <w:keepNext w:val="0"/>
        <w:pageBreakBefore w:val="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设备需满足江苏省高职数维比赛和联院数维选拔赛的要求，跟现有数维设备完成整机联调，使设备正常运行。</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尺寸：740×900×1530mm</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重量：约80KG</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材质：钣金</w:t>
      </w:r>
      <w:r/>
    </w:p>
    <w:p>
      <w:pPr>
        <w:numPr>
          <w:ilvl w:val="0"/>
          <w:numId w:val="0"/>
        </w:num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相关电器元器件</w:t>
      </w:r>
      <w:r/>
    </w:p>
    <w:tbl>
      <w:tblPr>
        <w:tblStyle w:val="741"/>
        <w:tblpPr w:horzAnchor="page" w:tblpXSpec="center" w:vertAnchor="text" w:tblpY="309" w:leftFromText="180" w:topFromText="0" w:rightFromText="180" w:bottomFromText="0"/>
        <w:tblW w:w="81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8"/>
        <w:gridCol w:w="2844"/>
        <w:gridCol w:w="1247"/>
        <w:gridCol w:w="1699"/>
      </w:tblGrid>
      <w:tr>
        <w:trPr>
          <w:jc w:val="center"/>
          <w:trHeight w:val="454"/>
        </w:trPr>
        <w:tc>
          <w:tcPr>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名称</w:t>
            </w:r>
            <w:r/>
          </w:p>
        </w:tc>
        <w:tc>
          <w:tcPr>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规格型号</w:t>
            </w:r>
            <w:r/>
          </w:p>
        </w:tc>
        <w:tc>
          <w:tcPr>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单位</w:t>
            </w:r>
            <w:r/>
          </w:p>
        </w:tc>
        <w:tc>
          <w:tcPr>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数量</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三菱变频器</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FR-D740-0.75K</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钮子开关</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SMTS-102小</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按钮开关</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LAS23A/220VAC</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16</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端子</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SAK2.5ENSAKDU2.5</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64</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端子</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SAKPE4</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号码牌</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DEK5/5.5</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140</w:t>
            </w:r>
            <w:r/>
          </w:p>
        </w:tc>
      </w:tr>
      <w:tr>
        <w:trPr>
          <w:jc w:val="center"/>
          <w:trHeight w:val="587"/>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短路棒</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SAKQ2.5/10</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20</w:t>
            </w:r>
            <w:r/>
          </w:p>
        </w:tc>
      </w:tr>
      <w:tr>
        <w:trPr>
          <w:jc w:val="center"/>
          <w:trHeight w:val="587"/>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AS-28K-7Z</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587"/>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AS-28J-7TB</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r>
      <w:tr>
        <w:trPr>
          <w:jc w:val="center"/>
          <w:trHeight w:val="587"/>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AS-28K-12Z</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66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AS-28J-12TB</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AS-28K-26Z</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航空插头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AS-28J-26TB</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电缆接头（防水）</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M48（PG36）</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只</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网板</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DS-YDDG-0037</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块</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开放式电柜整套钣金1</w:t>
            </w:r>
            <w:r/>
          </w:p>
        </w:tc>
        <w:tc>
          <w:tcPr>
            <w:shd w:val="clear" w:color="auto" w:fill="ffffff"/>
            <w:tcW w:w="2955" w:type="dxa"/>
            <w:vAlign w:val="center"/>
            <w:textDirection w:val="lrTb"/>
            <w:noWrap/>
          </w:tcPr>
          <w:p>
            <w:pPr>
              <w:jc w:val="center"/>
              <w:keepLines w:val="0"/>
              <w:keepNext w:val="0"/>
              <w:pageBreakBefore w:val="0"/>
              <w:spacing w:line="2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套</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492"/>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三相异步主电机</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Ys6314（120W）</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r>
        <w:trPr>
          <w:jc w:val="center"/>
          <w:trHeight w:val="511"/>
        </w:trPr>
        <w:tc>
          <w:tcPr>
            <w:shd w:val="clear" w:color="auto" w:fill="ffffff"/>
            <w:tcW w:w="2844"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大赛开关安装板</w:t>
            </w:r>
            <w:r/>
          </w:p>
        </w:tc>
        <w:tc>
          <w:tcPr>
            <w:shd w:val="clear" w:color="auto" w:fill="ffffff"/>
            <w:tcW w:w="2955"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大赛用</w:t>
            </w:r>
            <w:r/>
          </w:p>
        </w:tc>
        <w:tc>
          <w:tcPr>
            <w:shd w:val="clear" w:color="auto" w:fill="ffffff"/>
            <w:tcW w:w="1290"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件</w:t>
            </w:r>
            <w:r/>
          </w:p>
        </w:tc>
        <w:tc>
          <w:tcPr>
            <w:shd w:val="clear" w:color="auto" w:fill="ffffff"/>
            <w:tcW w:w="1762" w:type="dxa"/>
            <w:vAlign w:val="center"/>
            <w:textDirection w:val="lrTb"/>
            <w:noWrap/>
          </w:tcPr>
          <w:p>
            <w:pPr>
              <w:jc w:val="center"/>
              <w:keepLines w:val="0"/>
              <w:keepNext w:val="0"/>
              <w:pageBreakBefore w:val="0"/>
              <w:spacing w:line="2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r>
    </w:tbl>
    <w:p>
      <w:pPr>
        <w:keepLines w:val="0"/>
        <w:keepNext w:val="0"/>
        <w:pageBreakBefore w:val="0"/>
        <w:spacing w:line="220" w:lineRule="exact"/>
        <w:rPr>
          <w:rFonts w:ascii="Times New Roman" w:hAnsi="Times New Roman" w:eastAsia="宋体" w:cs="Times New Roman"/>
          <w:color w:val="auto"/>
          <w:szCs w:val="20"/>
          <w:highlight w:val="none"/>
        </w:rPr>
      </w:pPr>
      <w:r>
        <w:rPr>
          <w:rFonts w:ascii="Times New Roman" w:hAnsi="Times New Roman" w:eastAsia="宋体" w:cs="Times New Roman"/>
          <w:color w:val="auto"/>
          <w:szCs w:val="20"/>
          <w:highlight w:val="none"/>
        </w:rPr>
      </w:r>
      <w:r/>
    </w:p>
    <w:p>
      <w:pPr>
        <w:numPr>
          <w:ilvl w:val="0"/>
          <w:numId w:val="0"/>
        </w:numPr>
        <w:ind w:firstLine="422"/>
        <w:keepLines w:val="0"/>
        <w:keepNext w:val="0"/>
        <w:pageBreakBefore w:val="0"/>
        <w:spacing w:line="360" w:lineRule="auto"/>
        <w:widowControl w:val="off"/>
        <w:rPr>
          <w:rFonts w:hint="eastAsia" w:ascii="Times New Roman" w:hAnsi="Times New Roman" w:eastAsia="宋体" w:cs="Times New Roman"/>
          <w:b/>
          <w:bCs/>
          <w:color w:val="auto"/>
          <w:szCs w:val="21"/>
          <w:highlight w:val="none"/>
          <w:lang w:eastAsia="zh-CN"/>
        </w:rPr>
      </w:pPr>
      <w:r>
        <w:rPr>
          <w:rFonts w:hint="eastAsia" w:ascii="宋体" w:hAnsi="宋体"/>
          <w:b/>
          <w:bCs/>
          <w:color w:val="auto"/>
          <w:szCs w:val="21"/>
          <w:highlight w:val="none"/>
        </w:rPr>
        <w:t xml:space="preserve">供应商须承诺在成交后签订合同前，采购方有权要求成交人提供采购文件的软件性能参数指标进行测试，测试费用由成交人支付。不能提供或不能通过技术测试或测试结果与响应文件不符的视为虚假承诺，并报政府采购监督管理部门进行处理，导致整批货物被拒收和索赔，由此引发的所有损失由供应商负责。</w:t>
      </w:r>
      <w:r/>
    </w:p>
    <w:p>
      <w:pPr>
        <w:numPr>
          <w:ilvl w:val="0"/>
          <w:numId w:val="0"/>
        </w:numPr>
        <w:keepLines w:val="0"/>
        <w:keepNext w:val="0"/>
        <w:pageBreakBefore w:val="0"/>
        <w:spacing w:line="360" w:lineRule="auto"/>
        <w:widowControl w:val="off"/>
        <w:rPr>
          <w:rFonts w:hint="default"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szCs w:val="21"/>
          <w:highlight w:val="none"/>
          <w:lang w:eastAsia="zh-CN"/>
        </w:rPr>
        <w:t xml:space="preserve">（</w:t>
      </w:r>
      <w:r>
        <w:rPr>
          <w:rFonts w:hint="eastAsia" w:cs="Times New Roman"/>
          <w:b/>
          <w:bCs/>
          <w:color w:val="auto"/>
          <w:szCs w:val="21"/>
          <w:highlight w:val="none"/>
          <w:lang w:val="en-US" w:eastAsia="zh-CN"/>
        </w:rPr>
        <w:t xml:space="preserve">七</w:t>
      </w:r>
      <w:r>
        <w:rPr>
          <w:rFonts w:hint="eastAsia" w:ascii="Times New Roman" w:hAnsi="Times New Roman" w:eastAsia="宋体" w:cs="Times New Roman"/>
          <w:b/>
          <w:bCs/>
          <w:color w:val="auto"/>
          <w:szCs w:val="21"/>
          <w:highlight w:val="none"/>
          <w:lang w:eastAsia="zh-CN"/>
        </w:rPr>
        <w:t xml:space="preserve">）</w:t>
      </w:r>
      <w:r>
        <w:rPr>
          <w:rFonts w:hint="eastAsia" w:ascii="Times New Roman" w:hAnsi="Times New Roman" w:eastAsia="宋体" w:cs="Times New Roman"/>
          <w:b/>
          <w:bCs/>
          <w:color w:val="auto"/>
          <w:szCs w:val="21"/>
          <w:highlight w:val="none"/>
        </w:rPr>
        <w:t xml:space="preserve">其他综合说明：</w:t>
      </w:r>
      <w:r/>
    </w:p>
    <w:p>
      <w:pPr>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b w:val="0"/>
          <w:bCs w:val="0"/>
          <w:color w:val="auto"/>
          <w:szCs w:val="21"/>
          <w:highlight w:val="none"/>
        </w:rPr>
        <w:t xml:space="preserve">1.</w:t>
      </w:r>
      <w:r>
        <w:rPr>
          <w:rFonts w:hint="eastAsia" w:ascii="宋体" w:hAnsi="宋体" w:eastAsia="宋体" w:cs="宋体"/>
          <w:color w:val="auto"/>
          <w:szCs w:val="21"/>
          <w:highlight w:val="none"/>
        </w:rPr>
        <w:t xml:space="preserve">投标单位必须全部满足以上参数</w:t>
      </w:r>
      <w:r>
        <w:rPr>
          <w:rFonts w:hint="eastAsia" w:ascii="宋体" w:hAnsi="宋体" w:cs="宋体"/>
          <w:color w:val="auto"/>
          <w:szCs w:val="21"/>
          <w:highlight w:val="none"/>
          <w:lang w:val="en-US" w:eastAsia="zh-CN"/>
        </w:rPr>
        <w:t xml:space="preserve">指标</w:t>
      </w:r>
      <w:r>
        <w:rPr>
          <w:rFonts w:hint="eastAsia" w:ascii="宋体" w:hAnsi="宋体" w:eastAsia="宋体" w:cs="宋体"/>
          <w:color w:val="auto"/>
          <w:szCs w:val="21"/>
          <w:highlight w:val="none"/>
        </w:rPr>
        <w:t xml:space="preserve">要求，</w:t>
      </w:r>
      <w:r>
        <w:rPr>
          <w:rFonts w:hint="eastAsia" w:ascii="宋体" w:hAnsi="宋体" w:cs="宋体"/>
          <w:color w:val="auto"/>
          <w:szCs w:val="21"/>
          <w:highlight w:val="none"/>
          <w:lang w:val="en-US" w:eastAsia="zh-CN"/>
        </w:rPr>
        <w:t xml:space="preserve">否</w:t>
      </w:r>
      <w:r>
        <w:rPr>
          <w:rFonts w:hint="eastAsia" w:ascii="宋体" w:hAnsi="宋体" w:eastAsia="宋体" w:cs="宋体"/>
          <w:color w:val="auto"/>
          <w:szCs w:val="21"/>
          <w:highlight w:val="none"/>
        </w:rPr>
        <w:t xml:space="preserve">则按无效标书处理。</w:t>
      </w:r>
      <w:r/>
    </w:p>
    <w:p>
      <w:pP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.投标单位必须承诺谈判文件中提出的全部技术要求，如果以其中某些条款不响应时，应在文件中逐条列出，未列出的视同响应。</w:t>
      </w:r>
      <w:r/>
    </w:p>
    <w:p>
      <w:pPr>
        <w:keepLines w:val="0"/>
        <w:keepNext w:val="0"/>
        <w:pageBreakBefore w:val="0"/>
        <w:spacing w:line="360" w:lineRule="auto"/>
        <w:rPr>
          <w:rFonts w:hint="default" w:eastAsia="宋体"/>
          <w:color w:val="auto"/>
          <w:highlight w:val="none"/>
          <w:lang w:val="en-US" w:eastAsia="zh-CN"/>
        </w:rPr>
      </w:pPr>
      <w:r>
        <w:rPr>
          <w:rFonts w:hint="eastAsia" w:ascii="宋体" w:hAnsi="宋体" w:eastAsia="宋体" w:cs="宋体"/>
          <w:color w:val="auto"/>
          <w:szCs w:val="21"/>
          <w:highlight w:val="none"/>
          <w:lang w:val="en-US" w:eastAsia="zh-CN"/>
        </w:rPr>
        <w:t xml:space="preserve">3.</w:t>
      </w:r>
      <w:r>
        <w:rPr>
          <w:rFonts w:hint="eastAsia" w:ascii="Times New Roman" w:hAnsi="Times New Roman" w:eastAsia="宋体" w:cs="Times New Roman"/>
          <w:b/>
          <w:bCs/>
          <w:color w:val="auto"/>
          <w:highlight w:val="none"/>
        </w:rPr>
        <w:t xml:space="preserve">提供同品牌同型号的核心产品且通过资格审查、符合性审查的不同供应商参加同一合同项下竞争性谈判的，按一家供应商计算，评审后价格最低的同品牌同型号供应商获得成交人推荐资格。</w:t>
      </w:r>
      <w:r/>
    </w:p>
    <w:p>
      <w:pPr>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投标单位的报价以全部服务总价一次报定，即包括直至完成本项目全部服务内容的所有人力费用、物力费用、验收费及保险、劳保、专利技术、技术支持与人员培训等工作所发生的全部费用以及投标人企业利润、税金和政策性文件规定等一切费用，本项目为交钥匙工程，所报总价包括完成本项目全部内容。</w:t>
      </w:r>
      <w:r/>
    </w:p>
    <w:p>
      <w:pPr>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凡涉及谈判文件的补充说明和修改，均以苏州市政府采购网通知为准。</w:t>
      </w:r>
      <w:r/>
    </w:p>
    <w:p>
      <w:pPr>
        <w:keepLines w:val="0"/>
        <w:keepNext w:val="0"/>
        <w:pageBreakBefore w:val="0"/>
        <w:spacing w:line="360" w:lineRule="auto"/>
        <w:rPr>
          <w:rStyle w:val="1050"/>
          <w:rFonts w:hint="eastAsia"/>
          <w:b/>
          <w:bCs/>
          <w:color w:val="auto"/>
          <w:sz w:val="32"/>
          <w:szCs w:val="32"/>
          <w:highlight w:val="none"/>
        </w:rPr>
      </w:pPr>
      <w:r>
        <w:rPr>
          <w:rStyle w:val="1050"/>
          <w:rFonts w:hint="eastAsia"/>
          <w:b/>
          <w:bCs/>
          <w:color w:val="auto"/>
          <w:sz w:val="32"/>
          <w:szCs w:val="32"/>
          <w:highlight w:val="none"/>
        </w:rPr>
        <w:br w:type="page" w:clear="all"/>
      </w:r>
      <w:r/>
    </w:p>
    <w:p>
      <w:pPr>
        <w:pStyle w:val="731"/>
        <w:jc w:val="center"/>
        <w:spacing w:line="240" w:lineRule="auto"/>
        <w:rPr>
          <w:rStyle w:val="1050"/>
          <w:b/>
          <w:bCs/>
          <w:color w:val="auto"/>
          <w:sz w:val="32"/>
          <w:szCs w:val="32"/>
          <w:highlight w:val="none"/>
        </w:rPr>
      </w:pPr>
      <w:r>
        <w:rPr>
          <w:rStyle w:val="1050"/>
          <w:rFonts w:hint="eastAsia"/>
          <w:b/>
          <w:bCs/>
          <w:color w:val="auto"/>
          <w:sz w:val="32"/>
          <w:szCs w:val="32"/>
          <w:highlight w:val="none"/>
        </w:rPr>
        <w:t xml:space="preserve">第四章 竞争性谈判程序</w:t>
      </w:r>
      <w:bookmarkEnd w:id="11"/>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一、谈判流程：</w:t>
      </w:r>
      <w:r/>
    </w:p>
    <w:p>
      <w:pPr>
        <w:ind w:firstLine="420"/>
        <w:spacing w:line="360" w:lineRule="auto"/>
        <w:rPr>
          <w:rFonts w:ascii="宋体" w:hAnsi="宋体"/>
          <w:color w:val="auto"/>
          <w:highlight w:val="none"/>
        </w:rPr>
      </w:pPr>
      <w:r>
        <w:rPr>
          <w:rFonts w:hint="eastAsia" w:ascii="宋体" w:hAnsi="宋体"/>
          <w:color w:val="auto"/>
          <w:highlight w:val="none"/>
        </w:rPr>
        <w:t xml:space="preserve">1.采购代理机构按谈判文件规定的时间、地点主持谈判活动。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highlight w:val="none"/>
        </w:rPr>
      </w:pPr>
      <w:r>
        <w:rPr>
          <w:rFonts w:hint="eastAsia" w:ascii="宋体" w:hAnsi="宋体"/>
          <w:color w:val="auto"/>
          <w:highlight w:val="none"/>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highlight w:val="none"/>
        </w:rPr>
      </w:pPr>
      <w:r>
        <w:rPr>
          <w:rFonts w:hint="eastAsia" w:ascii="宋体" w:hAnsi="宋体"/>
          <w:color w:val="auto"/>
          <w:highlight w:val="none"/>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highlight w:val="none"/>
        </w:rPr>
      </w:pPr>
      <w:r>
        <w:rPr>
          <w:rFonts w:hint="eastAsia" w:ascii="宋体" w:hAnsi="宋体"/>
          <w:color w:val="auto"/>
          <w:highlight w:val="none"/>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highlight w:val="none"/>
        </w:rPr>
      </w:pPr>
      <w:r>
        <w:rPr>
          <w:rFonts w:hint="eastAsia" w:ascii="宋体" w:hAnsi="宋体"/>
          <w:color w:val="auto"/>
          <w:highlight w:val="none"/>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highlight w:val="none"/>
        </w:rPr>
      </w:pPr>
      <w:r>
        <w:rPr>
          <w:rFonts w:hint="eastAsia" w:ascii="宋体" w:hAnsi="宋体"/>
          <w:color w:val="auto"/>
          <w:highlight w:val="none"/>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highlight w:val="none"/>
        </w:rPr>
      </w:pPr>
      <w:r>
        <w:rPr>
          <w:rFonts w:hint="eastAsia" w:ascii="宋体" w:hAnsi="宋体"/>
          <w:color w:val="auto"/>
          <w:highlight w:val="none"/>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highlight w:val="none"/>
        </w:rPr>
      </w:pPr>
      <w:r>
        <w:rPr>
          <w:rFonts w:hint="eastAsia" w:ascii="宋体" w:hAnsi="宋体"/>
          <w:color w:val="auto"/>
          <w:highlight w:val="none"/>
        </w:rPr>
        <w:t xml:space="preserve">2.5未实质性响应谈判文件的情形</w:t>
      </w:r>
      <w:r/>
    </w:p>
    <w:p>
      <w:pPr>
        <w:ind w:firstLine="420"/>
        <w:spacing w:line="360" w:lineRule="auto"/>
        <w:rPr>
          <w:rFonts w:ascii="宋体" w:hAnsi="宋体"/>
          <w:color w:val="auto"/>
          <w:highlight w:val="none"/>
        </w:rPr>
      </w:pPr>
      <w:r>
        <w:rPr>
          <w:rFonts w:hint="eastAsia" w:ascii="宋体" w:hAnsi="宋体"/>
          <w:color w:val="auto"/>
          <w:highlight w:val="none"/>
        </w:rPr>
        <w:t xml:space="preserve">2.5.1供应商在苏采云系统规定的时间内未成功解密电子响应文件的。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2.5.2供应商未按照谈判文件要求上传电子响应文件的。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2.5.3同一供应商提交两个（含两个）以上不同的响应文件或者最后报价的。</w:t>
      </w:r>
      <w:r/>
    </w:p>
    <w:p>
      <w:pPr>
        <w:ind w:firstLine="420"/>
        <w:spacing w:line="360" w:lineRule="auto"/>
        <w:rPr>
          <w:rFonts w:ascii="宋体" w:hAnsi="宋体"/>
          <w:color w:val="auto"/>
          <w:highlight w:val="none"/>
        </w:rPr>
      </w:pPr>
      <w:r>
        <w:rPr>
          <w:rFonts w:hint="eastAsia" w:ascii="宋体" w:hAnsi="宋体"/>
          <w:color w:val="auto"/>
          <w:highlight w:val="none"/>
        </w:rPr>
        <w:t xml:space="preserve">2.5.4供应商不具备谈判文件中规定资格要求的。</w:t>
      </w:r>
      <w:r/>
    </w:p>
    <w:p>
      <w:pPr>
        <w:ind w:firstLine="420"/>
        <w:spacing w:line="360" w:lineRule="auto"/>
        <w:rPr>
          <w:rFonts w:ascii="宋体" w:hAnsi="宋体"/>
          <w:color w:val="auto"/>
          <w:highlight w:val="none"/>
        </w:rPr>
      </w:pPr>
      <w:r>
        <w:rPr>
          <w:rFonts w:hint="eastAsia" w:ascii="宋体" w:hAnsi="宋体"/>
          <w:color w:val="auto"/>
          <w:highlight w:val="none"/>
        </w:rPr>
        <w:t xml:space="preserve">2.5.5供应商的最后报价超过了采购预算。</w:t>
      </w:r>
      <w:r/>
    </w:p>
    <w:p>
      <w:pPr>
        <w:ind w:firstLine="420"/>
        <w:spacing w:line="360" w:lineRule="auto"/>
        <w:rPr>
          <w:rFonts w:ascii="宋体" w:hAnsi="宋体"/>
          <w:color w:val="auto"/>
          <w:highlight w:val="none"/>
        </w:rPr>
      </w:pPr>
      <w:r>
        <w:rPr>
          <w:rFonts w:hint="eastAsia" w:ascii="宋体" w:hAnsi="宋体"/>
          <w:color w:val="auto"/>
          <w:highlight w:val="none"/>
        </w:rPr>
        <w:t xml:space="preserve">2.5.6不符合谈判文件中规定的实质性要求和条件的。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highlight w:val="none"/>
        </w:rPr>
      </w:pPr>
      <w:r>
        <w:rPr>
          <w:rFonts w:hint="eastAsia" w:ascii="宋体" w:hAnsi="宋体"/>
          <w:color w:val="auto"/>
          <w:highlight w:val="none"/>
        </w:rPr>
        <w:t xml:space="preserve">2.5.8  响应文件含有采购人不能接受的附加条件的。</w:t>
      </w:r>
      <w:r/>
    </w:p>
    <w:p>
      <w:pPr>
        <w:ind w:firstLine="420"/>
        <w:spacing w:line="360" w:lineRule="auto"/>
        <w:rPr>
          <w:rFonts w:ascii="宋体" w:hAnsi="宋体"/>
          <w:color w:val="auto"/>
          <w:highlight w:val="none"/>
        </w:rPr>
      </w:pPr>
      <w:r>
        <w:rPr>
          <w:rFonts w:hint="eastAsia" w:ascii="宋体" w:hAnsi="宋体"/>
          <w:color w:val="auto"/>
          <w:highlight w:val="none"/>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2.5.10响应文件未按照谈判文件要求加盖CA电子公章的。</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2.6未实质性响应谈判文件的响应文件按无效响应处理。</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2.8供应商在项目评审全过程中应保持通讯畅通，并安排专人与采购中心及谈判小组联系。</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最后报价是供应商响应文件的有效组成部分。</w:t>
      </w:r>
      <w:r/>
    </w:p>
    <w:p>
      <w:pPr>
        <w:ind w:firstLine="422"/>
        <w:spacing w:line="360" w:lineRule="auto"/>
        <w:rPr>
          <w:rFonts w:ascii="宋体" w:hAnsi="宋体" w:cs="宋体"/>
          <w:b/>
          <w:color w:val="auto"/>
          <w:highlight w:val="none"/>
        </w:rPr>
      </w:pPr>
      <w:r>
        <w:rPr>
          <w:rFonts w:hint="eastAsia" w:ascii="宋体" w:hAnsi="宋体" w:cs="宋体"/>
          <w:b/>
          <w:color w:val="auto"/>
          <w:highlight w:val="none"/>
          <w:lang w:bidi="ar"/>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s="宋体"/>
          <w:color w:val="auto"/>
          <w:highlight w:val="none"/>
        </w:rPr>
      </w:pPr>
      <w:r>
        <w:rPr>
          <w:rFonts w:hint="eastAsia" w:ascii="宋体" w:hAnsi="宋体" w:cs="宋体"/>
          <w:color w:val="auto"/>
          <w:highlight w:val="none"/>
          <w:lang w:bidi="ar"/>
        </w:rPr>
        <w:t xml:space="preserve">7.谈判小组根据谈判成交原则确定成交供应商，并将结果通知所有参加谈判的未成交的供应商</w:t>
      </w:r>
      <w:r>
        <w:rPr>
          <w:rFonts w:hint="eastAsia" w:ascii="宋体" w:hAnsi="宋体" w:cs="宋体"/>
          <w:color w:val="auto"/>
          <w:highlight w:val="none"/>
        </w:rPr>
        <w:t xml:space="preserve">。</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二、项目评审</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（一）谈判小组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 谈判小组的评审工作由采购代理机构负责组织，具体评审事务由谈判小组负责，并独立履行法律、法规规定的职责。</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（二）评审过程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评审需要，谈判小组所有成员应当集中与单一响应单位分别进行谈判，并给予所有参加谈判的响应单位平等的谈判机会。采购文件如有实质性变动的，对采购文件作出的实质性变动是采购文件的有效组成部分，将以书面形式同时通知所有参加谈判的供应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3.谈判小组在对响应文件的有效性、完整性和响应程度进行审查时，可以要求响应单位对响应文件中含义不明确、同类问题表述不一致或者有明显文字和计算错误的内容等作出必要的</w:t>
      </w:r>
      <w:r>
        <w:rPr>
          <w:rFonts w:hint="eastAsia" w:ascii="宋体" w:hAnsi="宋体" w:cs="宋体"/>
          <w:color w:val="auto"/>
          <w:szCs w:val="21"/>
          <w:highlight w:val="none"/>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接到谈判小组澄清、说明和更正要求的供应商如未按规定做出澄清、说明和更正，其风险由供应商自行承担。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5.项目开标后，直到宣布成交结果为止，凡属于评审、澄清、评价和比较响应等相关的信息都不应向供应商或与评审无关的其他人泄露。</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三、项目成交</w:t>
      </w:r>
      <w:r/>
    </w:p>
    <w:p>
      <w:pPr>
        <w:pStyle w:val="761"/>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（一）项目成交需同时满足以下条件：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1.满足谈判文件实质性要求的合格供应商不少于三家；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2.合格供应商的报价均未超过采购预算；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3.采购过程中未出现违法、违规行为；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4.按照谈判文件规定的评审办法确定成交供应商。</w:t>
      </w:r>
      <w:r/>
    </w:p>
    <w:p>
      <w:pPr>
        <w:pStyle w:val="761"/>
        <w:ind w:firstLine="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（二）重新评审</w:t>
      </w:r>
      <w:r/>
    </w:p>
    <w:p>
      <w:pPr>
        <w:pStyle w:val="761"/>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61"/>
        <w:ind w:firstLine="420"/>
        <w:spacing w:line="360" w:lineRule="auto"/>
        <w:rPr>
          <w:rFonts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采购人或者采购代理机构不得通过对样品进行检测、对供应商进行考察等方式改变评审结果。</w:t>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（三）成交通知书及合同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1.采购代理机构按照法定流程发布成交公告，及时向成交供应商发送成交通知书。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成交通知书对采购人和成交供应商均具有法律效力，成交通知书发出后，采购人改变成交结果的，或者成交供应商放弃成交项目的，应当依法承担法律责任。</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四、响应无效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1.出现下列情形之一的，将被认定为响应无效或无效文件：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投标报价超出预算的；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违反政府采购相关规定的；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未实质性响应采购文件要求的；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w:t>
      </w:r>
      <w:r>
        <w:rPr>
          <w:rFonts w:hint="eastAsia" w:ascii="宋体" w:hAnsi="宋体" w:cs="宋体"/>
          <w:color w:val="auto"/>
          <w:szCs w:val="21"/>
          <w:highlight w:val="none"/>
          <w:lang w:val="zh-CN"/>
        </w:rPr>
        <w:t xml:space="preserve">不符合法律、法规和招标文件规定的其他实质性要求的；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w:t>
      </w:r>
      <w:r>
        <w:rPr>
          <w:rFonts w:hint="eastAsia" w:ascii="宋体" w:hAnsi="宋体" w:cs="宋体"/>
          <w:color w:val="auto"/>
          <w:szCs w:val="21"/>
          <w:highlight w:val="none"/>
          <w:lang w:val="zh-CN"/>
        </w:rPr>
        <w:t xml:space="preserve">谈判小组认定的其他情形；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2.被认定为响应无效或无效文件的，采购代理机构应当将理由告知相关供应商。</w:t>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五、项目终止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1.1因情况变化，不再符合规定的竞争性谈判采购方式适用情形的；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1.2出现影响采购公正的违法、违规行为的；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1.3在采购过程中符合竞争要求的供应商或者报价未超过采购预算的供应商不足三家的；</w:t>
      </w:r>
      <w:r/>
    </w:p>
    <w:p>
      <w:pPr>
        <w:ind w:firstLine="420"/>
        <w:spacing w:line="360" w:lineRule="auto"/>
        <w:rPr>
          <w:rFonts w:ascii="宋体" w:hAnsi="宋体" w:cs="宋体"/>
          <w:color w:val="auto"/>
          <w:szCs w:val="21"/>
          <w:highlight w:val="none"/>
        </w:rPr>
      </w:pPr>
      <w:r>
        <w:rPr>
          <w:rFonts w:hint="eastAsia" w:ascii="宋体" w:hAnsi="宋体" w:cs="宋体"/>
          <w:color w:val="auto"/>
          <w:highlight w:val="none"/>
        </w:rPr>
        <w:t xml:space="preserve">1.4谈判采购过程中，如遇到交易中心出现断电、断网或其他不可预见原因导致采购活动无法正常进行的。</w:t>
      </w:r>
      <w:r/>
    </w:p>
    <w:p>
      <w:pPr>
        <w:ind w:firstLine="420"/>
        <w:widowControl/>
        <w:rPr>
          <w:rStyle w:val="1050"/>
          <w:rFonts w:ascii="Calibri" w:hAnsi="Calibri"/>
          <w:color w:val="auto"/>
          <w:sz w:val="32"/>
          <w:szCs w:val="32"/>
          <w:highlight w:val="none"/>
        </w:rPr>
      </w:pPr>
      <w:r>
        <w:rPr>
          <w:rFonts w:hint="eastAsia" w:ascii="宋体" w:hAnsi="宋体" w:cs="宋体"/>
          <w:color w:val="auto"/>
          <w:szCs w:val="21"/>
          <w:highlight w:val="none"/>
        </w:rPr>
        <w:t xml:space="preserve">2.项目终止后，采购代理机构应当将项目终止的理由告知所有供应商</w:t>
      </w:r>
      <w:r>
        <w:rPr>
          <w:rFonts w:hint="eastAsia" w:ascii="宋体" w:hAnsi="宋体"/>
          <w:color w:val="auto"/>
          <w:szCs w:val="21"/>
          <w:highlight w:val="none"/>
        </w:rPr>
        <w:t xml:space="preserve">。</w:t>
      </w:r>
      <w:r>
        <w:rPr>
          <w:rStyle w:val="1050"/>
          <w:b w:val="0"/>
          <w:bCs w:val="0"/>
          <w:color w:val="auto"/>
          <w:sz w:val="32"/>
          <w:szCs w:val="32"/>
          <w:highlight w:val="none"/>
        </w:rPr>
        <w:br w:type="page" w:clear="all"/>
      </w:r>
      <w:bookmarkEnd w:id="12"/>
      <w:r/>
      <w:bookmarkEnd w:id="13"/>
      <w:r/>
      <w:r/>
    </w:p>
    <w:p>
      <w:pPr>
        <w:pStyle w:val="731"/>
        <w:jc w:val="center"/>
        <w:spacing w:line="240" w:lineRule="auto"/>
        <w:rPr>
          <w:rStyle w:val="1050"/>
          <w:b/>
          <w:bCs/>
          <w:color w:val="auto"/>
          <w:sz w:val="32"/>
          <w:szCs w:val="32"/>
          <w:highlight w:val="none"/>
        </w:rPr>
      </w:pPr>
      <w:r/>
      <w:bookmarkStart w:id="14" w:name="_Toc166488922"/>
      <w:r>
        <w:rPr>
          <w:rStyle w:val="1050"/>
          <w:rFonts w:hint="eastAsia"/>
          <w:b/>
          <w:bCs/>
          <w:color w:val="auto"/>
          <w:sz w:val="32"/>
          <w:szCs w:val="32"/>
          <w:highlight w:val="none"/>
        </w:rPr>
        <w:t xml:space="preserve">第五章 合同条款</w:t>
      </w:r>
      <w:bookmarkEnd w:id="14"/>
      <w:r/>
      <w:r/>
    </w:p>
    <w:p>
      <w:pPr>
        <w:spacing w:line="360" w:lineRule="auto"/>
        <w:rPr>
          <w:rFonts w:hint="default" w:ascii="宋体" w:hAnsi="宋体" w:eastAsia="宋体" w:cs="宋体"/>
          <w:color w:val="auto"/>
          <w:szCs w:val="21"/>
          <w:highlight w:val="none"/>
        </w:rPr>
      </w:pPr>
      <w:r/>
      <w:bookmarkStart w:id="15" w:name="_Toc166488923"/>
      <w:r>
        <w:rPr>
          <w:rFonts w:hint="eastAsia" w:ascii="宋体" w:hAnsi="宋体" w:eastAsia="宋体" w:cs="宋体"/>
          <w:color w:val="auto"/>
          <w:szCs w:val="21"/>
          <w:highlight w:val="none"/>
        </w:rPr>
        <w:t xml:space="preserve">甲方（采购组织方）：昆山市教育装备与勤工俭学管理中心</w:t>
      </w:r>
      <w:r/>
    </w:p>
    <w:p>
      <w:pP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地址：娄苑路171号</w:t>
      </w:r>
      <w:r/>
    </w:p>
    <w:p>
      <w:pPr>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电话：0512-36839612</w:t>
      </w:r>
      <w:r/>
    </w:p>
    <w:p>
      <w:pPr>
        <w:spacing w:line="360" w:lineRule="auto"/>
        <w:rPr>
          <w:rFonts w:hint="default" w:ascii="Arial" w:hAnsi="宋体" w:eastAsia="宋体" w:cs="Times New Roman"/>
          <w:color w:val="auto"/>
          <w:szCs w:val="21"/>
          <w:highlight w:val="none"/>
        </w:rPr>
      </w:pPr>
      <w:r>
        <w:rPr>
          <w:rFonts w:hint="eastAsia" w:ascii="Arial" w:hAnsi="宋体" w:eastAsia="宋体" w:cs="Times New Roman"/>
          <w:color w:val="auto"/>
          <w:szCs w:val="21"/>
          <w:highlight w:val="none"/>
        </w:rPr>
        <w:t xml:space="preserve">传真：</w:t>
      </w:r>
      <w:r/>
    </w:p>
    <w:p>
      <w:pPr>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spacing w:line="360" w:lineRule="auto"/>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甲方（使用方）：</w:t>
      </w:r>
      <w:r/>
    </w:p>
    <w:p>
      <w:pPr>
        <w:spacing w:line="360" w:lineRule="auto"/>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地址：</w:t>
      </w:r>
      <w:r/>
    </w:p>
    <w:p>
      <w:pPr>
        <w:spacing w:line="360" w:lineRule="auto"/>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电话：</w:t>
      </w:r>
      <w:r/>
    </w:p>
    <w:p>
      <w:pPr>
        <w:spacing w:line="360" w:lineRule="auto"/>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传真：</w:t>
      </w:r>
      <w:r/>
    </w:p>
    <w:p>
      <w:pPr>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spacing w:line="360" w:lineRule="auto"/>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乙方：</w:t>
      </w:r>
      <w:r/>
    </w:p>
    <w:p>
      <w:pPr>
        <w:spacing w:line="360" w:lineRule="auto"/>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地址：</w:t>
      </w:r>
      <w:r/>
    </w:p>
    <w:p>
      <w:pPr>
        <w:spacing w:line="360" w:lineRule="auto"/>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电话：</w:t>
      </w:r>
      <w:r/>
    </w:p>
    <w:p>
      <w:pPr>
        <w:spacing w:line="360" w:lineRule="auto"/>
        <w:rPr>
          <w:rFonts w:hint="eastAsia" w:ascii="宋体" w:hAnsi="宋体" w:eastAsia="宋体" w:cs="Times New Roman"/>
          <w:color w:val="auto"/>
          <w:szCs w:val="21"/>
          <w:highlight w:val="none"/>
        </w:rPr>
      </w:pPr>
      <w:r>
        <w:rPr>
          <w:rFonts w:hint="eastAsia" w:ascii="Arial" w:hAnsi="宋体" w:eastAsia="宋体" w:cs="Times New Roman"/>
          <w:color w:val="auto"/>
          <w:szCs w:val="21"/>
          <w:highlight w:val="none"/>
        </w:rPr>
        <w:t xml:space="preserve">传真：</w:t>
      </w:r>
      <w:r/>
    </w:p>
    <w:p>
      <w:pPr>
        <w:ind w:firstLine="420"/>
        <w:spacing w:line="360" w:lineRule="auto"/>
        <w:rPr>
          <w:rFonts w:hint="default" w:ascii="Times New Roman" w:hAnsi="Times New Roman" w:eastAsia="宋体" w:cs="Times New Roman"/>
          <w:color w:val="auto"/>
          <w:highlight w:val="none"/>
        </w:rPr>
      </w:pPr>
      <w:r>
        <w:rPr>
          <w:rFonts w:hint="eastAsia" w:ascii="宋体" w:hAnsi="宋体" w:eastAsia="宋体" w:cs="Times New Roman"/>
          <w:color w:val="auto"/>
          <w:szCs w:val="21"/>
          <w:highlight w:val="none"/>
        </w:rPr>
        <w:t xml:space="preserve">本项目采用竞争性谈判采购方式，依据成交结果，决定将采购合同授予乙方。为进一步明确采购人（甲方）和成交人（乙方）采购过程中的权利、义务和经济责任，根据《中华人民共和国民法典》和《中华人民共和国政府采购法》之规定及本项目谈判文件、乙方的响应文件等相关资料，经甲方双方充分协商，遵循平等、自愿、公平和诚实信用原则，特订立本合同，以资共同遵守。</w:t>
      </w:r>
      <w:r/>
    </w:p>
    <w:p>
      <w:pPr>
        <w:ind w:firstLine="422"/>
        <w:jc w:val="left"/>
        <w:spacing w:line="360" w:lineRule="auto"/>
        <w:rPr>
          <w:rFonts w:hint="default" w:ascii="Arial" w:hAnsi="Arial" w:eastAsia="宋体" w:cs="Times New Roman"/>
          <w:color w:val="auto"/>
          <w:szCs w:val="21"/>
          <w:highlight w:val="none"/>
        </w:rPr>
      </w:pPr>
      <w:r>
        <w:rPr>
          <w:rFonts w:hint="eastAsia" w:ascii="Arial" w:hAnsi="Arial" w:eastAsia="宋体" w:cs="Times New Roman"/>
          <w:b/>
          <w:color w:val="auto"/>
          <w:szCs w:val="21"/>
          <w:highlight w:val="none"/>
        </w:rPr>
        <w:t xml:space="preserve">一、定义：</w:t>
      </w:r>
      <w:r>
        <w:rPr>
          <w:rFonts w:hint="eastAsia" w:ascii="Arial" w:hAnsi="Arial" w:eastAsia="宋体" w:cs="Times New Roman"/>
          <w:color w:val="auto"/>
          <w:szCs w:val="21"/>
          <w:highlight w:val="none"/>
        </w:rPr>
        <w:t xml:space="preserve">以下术语有特定的含义</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货物</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本合同所称货物是指乙方基于其已中标的投标文件而应向甲方提供的符合招标要求规格及功能的</w:t>
      </w:r>
      <w:r>
        <w:rPr>
          <w:rFonts w:hint="eastAsia" w:ascii="Arial" w:hAnsi="Arial" w:eastAsia="宋体" w:cs="Times New Roman"/>
          <w:b w:val="0"/>
          <w:bCs/>
          <w:color w:val="auto"/>
          <w:szCs w:val="21"/>
          <w:highlight w:val="none"/>
          <w:u w:val="single"/>
        </w:rPr>
        <w:t xml:space="preserve"> 江苏省昆山第一中等专业学校教学仪器设备 </w:t>
      </w:r>
      <w:r>
        <w:rPr>
          <w:rFonts w:hint="eastAsia" w:ascii="Arial" w:hAnsi="Arial" w:eastAsia="宋体" w:cs="Times New Roman"/>
          <w:b/>
          <w:color w:val="auto"/>
          <w:szCs w:val="21"/>
          <w:highlight w:val="none"/>
          <w:u w:val="single"/>
        </w:rPr>
        <w:t xml:space="preserve"> </w:t>
      </w:r>
      <w:r>
        <w:rPr>
          <w:rFonts w:hint="eastAsia" w:ascii="Arial" w:hAnsi="Arial" w:eastAsia="宋体" w:cs="Times New Roman"/>
          <w:color w:val="auto"/>
          <w:szCs w:val="21"/>
          <w:highlight w:val="none"/>
        </w:rPr>
        <w:t xml:space="preserve">及其全部备品备件，它还应包括由乙方送交给甲方的所有的必须文件和与使用及测试有关的应进行的任何规定的服务。</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服务</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合同价</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系指根据中标的投标文件和合同规定，乙方在正确地履行合同义务后由使用方分别支付乙方的价款。</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甲方（采购组织方）</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系指组织、协调本项目招标全过程的单位。</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甲方（使用方）</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系指明确规定的实际购买货物和服务的法人或其他组织和自然人。</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甲方</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系指采购组织方和使用方。</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乙方</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系指合同中规定的提供货物和提供服务的单位。</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损失</w:t>
      </w:r>
      <w:r>
        <w:rPr>
          <w:rFonts w:hint="default" w:ascii="Arial" w:hAnsi="Arial" w:eastAsia="宋体" w:cs="Times New Roman"/>
          <w:color w:val="auto"/>
          <w:szCs w:val="21"/>
          <w:highlight w:val="none"/>
        </w:rPr>
        <w:t xml:space="preserve">”</w:t>
      </w:r>
      <w:r>
        <w:rPr>
          <w:rFonts w:hint="eastAsia" w:ascii="Arial" w:hAnsi="Arial" w:eastAsia="宋体" w:cs="Times New Roman"/>
          <w:color w:val="auto"/>
          <w:szCs w:val="21"/>
          <w:highlight w:val="none"/>
        </w:rPr>
        <w:t xml:space="preserve">本合同所指损失是指合同一方因不履行合同义务而遭致另一方及第三方的各种损失及损害的费用，还包括守约方为减轻损害或维护权利而需支付的各种调查费用，车旅费用、律师费用等。</w:t>
      </w:r>
      <w:r/>
    </w:p>
    <w:p>
      <w:pPr>
        <w:ind w:firstLine="422"/>
        <w:jc w:val="left"/>
        <w:spacing w:line="360" w:lineRule="auto"/>
        <w:rPr>
          <w:rFonts w:hint="default" w:ascii="Arial" w:hAnsi="Arial" w:eastAsia="宋体" w:cs="Times New Roman"/>
          <w:bCs/>
          <w:color w:val="auto"/>
          <w:szCs w:val="21"/>
          <w:highlight w:val="none"/>
        </w:rPr>
      </w:pPr>
      <w:r>
        <w:rPr>
          <w:rFonts w:hint="eastAsia" w:ascii="Arial" w:hAnsi="Arial" w:eastAsia="宋体" w:cs="Times New Roman"/>
          <w:b/>
          <w:color w:val="auto"/>
          <w:szCs w:val="21"/>
          <w:highlight w:val="none"/>
        </w:rPr>
        <w:t xml:space="preserve">二、项目名称：</w:t>
      </w:r>
      <w:r>
        <w:rPr>
          <w:rFonts w:hint="default" w:ascii="Arial" w:hAnsi="Arial" w:eastAsia="宋体" w:cs="Times New Roman"/>
          <w:bCs/>
          <w:color w:val="auto"/>
          <w:szCs w:val="21"/>
          <w:highlight w:val="none"/>
        </w:rPr>
        <w:t xml:space="preserve"> </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    </w:t>
      </w:r>
      <w:r>
        <w:rPr>
          <w:rFonts w:hint="eastAsia" w:ascii="Arial" w:hAnsi="Arial" w:eastAsia="宋体" w:cs="Times New Roman"/>
          <w:color w:val="auto"/>
          <w:szCs w:val="21"/>
          <w:highlight w:val="none"/>
        </w:rPr>
        <w:t xml:space="preserve">项目地点：甲方指定地点</w:t>
      </w:r>
      <w:r/>
    </w:p>
    <w:p>
      <w:pPr>
        <w:ind w:firstLine="422"/>
        <w:jc w:val="left"/>
        <w:spacing w:line="360" w:lineRule="auto"/>
        <w:rPr>
          <w:rFonts w:hint="default" w:ascii="Times New Roman" w:hAnsi="Times New Roman" w:eastAsia="宋体" w:cs="Times New Roman"/>
          <w:color w:val="auto"/>
          <w:highlight w:val="none"/>
        </w:rPr>
      </w:pPr>
      <w:r>
        <w:rPr>
          <w:rFonts w:hint="eastAsia" w:ascii="Arial" w:hAnsi="Arial" w:eastAsia="宋体" w:cs="Times New Roman"/>
          <w:b/>
          <w:color w:val="auto"/>
          <w:szCs w:val="21"/>
          <w:highlight w:val="none"/>
        </w:rPr>
        <w:t xml:space="preserve">三、货物或服务名称、数量及价格：</w:t>
      </w:r>
      <w:r>
        <w:rPr>
          <w:rFonts w:hint="default" w:ascii="Times New Roman" w:hAnsi="Times New Roman" w:eastAsia="宋体" w:cs="Times New Roman"/>
          <w:color w:val="auto"/>
          <w:highlight w:val="none"/>
        </w:rPr>
        <w:t xml:space="preserve"> </w:t>
      </w:r>
      <w:r/>
    </w:p>
    <w:p>
      <w:pPr>
        <w:ind w:firstLine="422"/>
        <w:spacing w:line="360" w:lineRule="auto"/>
        <w:rPr>
          <w:rFonts w:hint="default" w:ascii="Arial" w:hAnsi="Arial" w:eastAsia="宋体" w:cs="Times New Roman"/>
          <w:b/>
          <w:color w:val="auto"/>
          <w:szCs w:val="21"/>
          <w:highlight w:val="none"/>
        </w:rPr>
      </w:pPr>
      <w:r>
        <w:rPr>
          <w:rFonts w:hint="eastAsia" w:ascii="Arial" w:hAnsi="Arial" w:eastAsia="宋体" w:cs="Times New Roman"/>
          <w:b/>
          <w:color w:val="auto"/>
          <w:szCs w:val="21"/>
          <w:highlight w:val="none"/>
        </w:rPr>
        <w:t xml:space="preserve">四、合同总价款：</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1.合同总价款：人民币</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元整，小写￥</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元。</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2.合同总价款：应包含所提供货物、保险、税费、包装、加工及加工损耗、运输、现场落地、安装及安装损耗、调试、检测验收和交付后约定期限内免费维保及合同包含的所有风险、责任等各项应有费用。</w:t>
      </w:r>
      <w:r/>
    </w:p>
    <w:p>
      <w:pPr>
        <w:ind w:firstLine="410"/>
        <w:jc w:val="left"/>
        <w:spacing w:line="360" w:lineRule="auto"/>
        <w:rPr>
          <w:rFonts w:hint="default" w:ascii="Times New Roman" w:hAnsi="Times New Roman" w:eastAsia="宋体" w:cs="Times New Roman"/>
          <w:color w:val="auto"/>
          <w:highlight w:val="none"/>
        </w:rPr>
      </w:pPr>
      <w:r>
        <w:rPr>
          <w:rFonts w:hint="eastAsia" w:ascii="宋体" w:hAnsi="宋体" w:eastAsia="宋体" w:cs="Times New Roman"/>
          <w:color w:val="auto"/>
          <w:szCs w:val="21"/>
          <w:highlight w:val="none"/>
        </w:rPr>
        <w:t xml:space="preserve">3对于甲方在谈判文件中所要求的及乙方在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2"/>
        <w:jc w:val="left"/>
        <w:spacing w:line="360" w:lineRule="auto"/>
        <w:rPr>
          <w:rFonts w:hint="default" w:ascii="Arial" w:hAnsi="Arial" w:eastAsia="宋体" w:cs="Times New Roman"/>
          <w:b/>
          <w:color w:val="auto"/>
          <w:szCs w:val="21"/>
          <w:highlight w:val="none"/>
        </w:rPr>
      </w:pPr>
      <w:r>
        <w:rPr>
          <w:rFonts w:hint="eastAsia" w:ascii="Arial" w:hAnsi="Arial" w:eastAsia="宋体" w:cs="Times New Roman"/>
          <w:b/>
          <w:color w:val="auto"/>
          <w:szCs w:val="21"/>
          <w:highlight w:val="none"/>
        </w:rPr>
        <w:t xml:space="preserve">五、合同总价范围：</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宋体" w:eastAsia="宋体" w:cs="Times New Roman"/>
          <w:color w:val="auto"/>
          <w:szCs w:val="21"/>
          <w:highlight w:val="none"/>
        </w:rPr>
        <w:t xml:space="preserve">、全部货物和服务的报价应包括所投设备及其备品、备件和专用工具费用、税费及包装、运至最终目的地的运输、保险、现场吊装、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jc w:val="left"/>
        <w:spacing w:line="360" w:lineRule="auto"/>
        <w:rPr>
          <w:rFonts w:hint="eastAsia" w:ascii="Arial" w:hAnsi="Arial" w:cs="Times New Roman"/>
          <w:color w:val="auto"/>
          <w:szCs w:val="21"/>
          <w:highlight w:val="none"/>
          <w:lang w:eastAsia="zh-CN"/>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、本项目免费质保期</w:t>
      </w:r>
      <w:r>
        <w:rPr>
          <w:rFonts w:hint="default" w:ascii="Arial" w:hAnsi="Arial" w:eastAsia="宋体" w:cs="Times New Roman"/>
          <w:color w:val="auto"/>
          <w:szCs w:val="21"/>
          <w:highlight w:val="none"/>
          <w:u w:val="single"/>
        </w:rPr>
        <w:t xml:space="preserve"> </w:t>
      </w:r>
      <w:r>
        <w:rPr>
          <w:rFonts w:hint="eastAsia" w:ascii="Arial" w:hAnsi="Arial" w:eastAsia="宋体" w:cs="Times New Roman"/>
          <w:color w:val="auto"/>
          <w:szCs w:val="21"/>
          <w:highlight w:val="none"/>
          <w:u w:val="single"/>
        </w:rPr>
        <w:t xml:space="preserve">1</w:t>
      </w:r>
      <w:r>
        <w:rPr>
          <w:rFonts w:hint="default" w:ascii="Arial" w:hAnsi="Arial" w:eastAsia="宋体" w:cs="Times New Roman"/>
          <w:color w:val="auto"/>
          <w:szCs w:val="21"/>
          <w:highlight w:val="none"/>
          <w:u w:val="single"/>
        </w:rPr>
        <w:t xml:space="preserve"> </w:t>
      </w:r>
      <w:r>
        <w:rPr>
          <w:rFonts w:hint="eastAsia" w:ascii="Arial" w:hAnsi="Arial" w:eastAsia="宋体" w:cs="Times New Roman"/>
          <w:color w:val="auto"/>
          <w:szCs w:val="21"/>
          <w:highlight w:val="none"/>
        </w:rPr>
        <w:t xml:space="preserve">年</w:t>
      </w:r>
      <w:r>
        <w:rPr>
          <w:rFonts w:hint="eastAsia" w:ascii="Arial" w:hAnsi="Arial" w:cs="Times New Roman"/>
          <w:color w:val="auto"/>
          <w:szCs w:val="21"/>
          <w:highlight w:val="none"/>
          <w:lang w:eastAsia="zh-CN"/>
        </w:rPr>
        <w:t xml:space="preserve">（自最终验收合格之日起计算）。</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3</w:t>
      </w:r>
      <w:r>
        <w:rPr>
          <w:rFonts w:hint="eastAsia" w:ascii="Arial" w:hAnsi="Arial" w:eastAsia="宋体" w:cs="Times New Roman"/>
          <w:color w:val="auto"/>
          <w:szCs w:val="21"/>
          <w:highlight w:val="none"/>
        </w:rPr>
        <w:t xml:space="preserve">、中国政府根据现行税法征收的与本合同有关的一切税费。</w:t>
      </w:r>
      <w:r/>
    </w:p>
    <w:p>
      <w:pPr>
        <w:ind w:firstLine="422"/>
        <w:jc w:val="left"/>
        <w:spacing w:line="360" w:lineRule="auto"/>
        <w:rPr>
          <w:rFonts w:hint="default" w:ascii="Arial" w:hAnsi="Arial" w:eastAsia="宋体" w:cs="Times New Roman"/>
          <w:b/>
          <w:color w:val="auto"/>
          <w:szCs w:val="21"/>
          <w:highlight w:val="none"/>
        </w:rPr>
      </w:pPr>
      <w:r>
        <w:rPr>
          <w:rFonts w:hint="eastAsia" w:ascii="Arial" w:hAnsi="Arial" w:eastAsia="宋体" w:cs="Times New Roman"/>
          <w:b/>
          <w:color w:val="auto"/>
          <w:szCs w:val="21"/>
          <w:highlight w:val="none"/>
        </w:rPr>
        <w:t xml:space="preserve">六、交货内容：</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Arial" w:eastAsia="宋体" w:cs="Times New Roman"/>
          <w:color w:val="auto"/>
          <w:szCs w:val="21"/>
          <w:highlight w:val="none"/>
        </w:rPr>
        <w:t xml:space="preserve">、符合本合同及招标文件规定的货物或服务。</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、保证货物使用及维修所需的全套技术资料和文件，至少应包括以下内容：货物清单；出厂合格证；操作的标识和中文标注；使用中文说明书；使用维修保养中文说明书。</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3</w:t>
      </w:r>
      <w:r>
        <w:rPr>
          <w:rFonts w:hint="eastAsia" w:ascii="Arial" w:hAnsi="Arial" w:eastAsia="宋体" w:cs="Times New Roman"/>
          <w:color w:val="auto"/>
          <w:szCs w:val="21"/>
          <w:highlight w:val="none"/>
        </w:rPr>
        <w:t xml:space="preserve">、其它必备材料和必备工具、货物等。</w:t>
      </w:r>
      <w:r/>
    </w:p>
    <w:p>
      <w:pPr>
        <w:ind w:firstLine="422"/>
        <w:jc w:val="left"/>
        <w:spacing w:line="360" w:lineRule="auto"/>
        <w:rPr>
          <w:rFonts w:hint="default" w:ascii="Times New Roman" w:hAnsi="Times New Roman" w:eastAsia="宋体" w:cs="Times New Roman"/>
          <w:color w:val="auto"/>
          <w:highlight w:val="none"/>
        </w:rPr>
      </w:pPr>
      <w:r>
        <w:rPr>
          <w:rFonts w:hint="eastAsia" w:ascii="Arial" w:hAnsi="Arial" w:eastAsia="宋体" w:cs="Times New Roman"/>
          <w:b/>
          <w:color w:val="auto"/>
          <w:szCs w:val="21"/>
          <w:highlight w:val="none"/>
        </w:rPr>
        <w:t xml:space="preserve">七、交货地点：</w:t>
      </w:r>
      <w:r>
        <w:rPr>
          <w:rFonts w:hint="eastAsia" w:ascii="Arial" w:hAnsi="Arial" w:eastAsia="宋体" w:cs="Times New Roman"/>
          <w:color w:val="auto"/>
          <w:szCs w:val="21"/>
          <w:highlight w:val="none"/>
        </w:rPr>
        <w:t xml:space="preserve">乙方交货至甲方（使用方）指定地点，所发生的运输等费用及货物的损坏造成的损失由乙方承担。</w:t>
      </w:r>
      <w:r/>
    </w:p>
    <w:p>
      <w:pPr>
        <w:ind w:firstLine="422"/>
        <w:jc w:val="left"/>
        <w:spacing w:line="360" w:lineRule="auto"/>
        <w:rPr>
          <w:rFonts w:hint="eastAsia" w:ascii="宋体" w:hAnsi="宋体" w:eastAsia="宋体" w:cs="Times New Roman"/>
          <w:color w:val="auto"/>
          <w:szCs w:val="21"/>
          <w:highlight w:val="none"/>
          <w:lang w:eastAsia="zh-CN"/>
        </w:rPr>
      </w:pPr>
      <w:r>
        <w:rPr>
          <w:rFonts w:hint="eastAsia" w:ascii="Arial" w:hAnsi="Arial" w:eastAsia="宋体" w:cs="Times New Roman"/>
          <w:b/>
          <w:color w:val="auto"/>
          <w:szCs w:val="21"/>
          <w:highlight w:val="none"/>
        </w:rPr>
        <w:t xml:space="preserve">八、交付期：</w:t>
      </w:r>
      <w:r>
        <w:rPr>
          <w:rFonts w:hint="eastAsia" w:ascii="宋体" w:hAnsi="宋体" w:eastAsia="宋体" w:cs="Times New Roman"/>
          <w:color w:val="auto"/>
          <w:szCs w:val="21"/>
          <w:highlight w:val="none"/>
        </w:rPr>
        <w:t xml:space="preserve">合同签订生效后</w:t>
      </w:r>
      <w:r>
        <w:rPr>
          <w:rFonts w:hint="eastAsia" w:ascii="宋体" w:hAnsi="宋体" w:cs="Times New Roman"/>
          <w:color w:val="auto"/>
          <w:szCs w:val="21"/>
          <w:highlight w:val="none"/>
          <w:lang w:val="en-US" w:eastAsia="zh-CN"/>
        </w:rPr>
        <w:t xml:space="preserve">20</w:t>
      </w:r>
      <w:r>
        <w:rPr>
          <w:rFonts w:hint="eastAsia" w:ascii="宋体" w:hAnsi="宋体" w:eastAsia="宋体" w:cs="Times New Roman"/>
          <w:color w:val="auto"/>
          <w:szCs w:val="21"/>
          <w:highlight w:val="none"/>
        </w:rPr>
        <w:t xml:space="preserve">天内完成供货安装调试，并能通过采购方验收，交付采购方使用</w:t>
      </w:r>
      <w:r>
        <w:rPr>
          <w:rFonts w:hint="eastAsia" w:ascii="宋体" w:hAnsi="宋体" w:cs="Times New Roman"/>
          <w:color w:val="auto"/>
          <w:szCs w:val="21"/>
          <w:highlight w:val="none"/>
          <w:lang w:eastAsia="zh-CN"/>
        </w:rPr>
        <w:t xml:space="preserve">。</w:t>
      </w:r>
      <w:r/>
    </w:p>
    <w:p>
      <w:pPr>
        <w:ind w:firstLine="422"/>
        <w:jc w:val="left"/>
        <w:spacing w:line="360" w:lineRule="auto"/>
        <w:rPr>
          <w:rFonts w:hint="eastAsia" w:ascii="Arial" w:hAnsi="Arial" w:eastAsia="宋体" w:cs="Times New Roman"/>
          <w:b/>
          <w:bCs/>
          <w:color w:val="auto"/>
          <w:szCs w:val="21"/>
          <w:highlight w:val="none"/>
        </w:rPr>
      </w:pPr>
      <w:r>
        <w:rPr>
          <w:rFonts w:hint="eastAsia" w:ascii="Arial" w:hAnsi="Arial" w:eastAsia="宋体" w:cs="Times New Roman"/>
          <w:b/>
          <w:color w:val="auto"/>
          <w:szCs w:val="21"/>
          <w:highlight w:val="none"/>
        </w:rPr>
        <w:t xml:space="preserve">九、</w:t>
      </w:r>
      <w:r>
        <w:rPr>
          <w:rFonts w:hint="eastAsia" w:ascii="Arial" w:hAnsi="Arial" w:eastAsia="宋体" w:cs="Times New Roman"/>
          <w:b/>
          <w:bCs/>
          <w:color w:val="auto"/>
          <w:szCs w:val="21"/>
          <w:highlight w:val="none"/>
        </w:rPr>
        <w:t xml:space="preserve">付款方式：验收合格后</w:t>
      </w:r>
      <w:r>
        <w:rPr>
          <w:rFonts w:hint="eastAsia" w:ascii="Arial" w:hAnsi="Arial" w:cs="Times New Roman"/>
          <w:b/>
          <w:bCs/>
          <w:color w:val="auto"/>
          <w:szCs w:val="21"/>
          <w:highlight w:val="none"/>
          <w:lang w:val="en-US" w:eastAsia="zh-CN"/>
        </w:rPr>
        <w:t xml:space="preserve">一次性付款（</w:t>
      </w:r>
      <w:r>
        <w:rPr>
          <w:rFonts w:hint="eastAsia" w:ascii="Arial" w:hAnsi="Arial" w:eastAsia="宋体" w:cs="Times New Roman"/>
          <w:b/>
          <w:bCs/>
          <w:color w:val="auto"/>
          <w:szCs w:val="21"/>
          <w:highlight w:val="none"/>
        </w:rPr>
        <w:t xml:space="preserve">数字人民币账号转账付款</w:t>
      </w:r>
      <w:r>
        <w:rPr>
          <w:rFonts w:hint="eastAsia" w:ascii="Arial" w:hAnsi="Arial" w:cs="Times New Roman"/>
          <w:b/>
          <w:bCs/>
          <w:color w:val="auto"/>
          <w:szCs w:val="21"/>
          <w:highlight w:val="none"/>
          <w:lang w:val="en-US" w:eastAsia="zh-CN"/>
        </w:rPr>
        <w:t xml:space="preserve">）</w:t>
      </w:r>
      <w:r>
        <w:rPr>
          <w:rFonts w:hint="eastAsia" w:ascii="Arial" w:hAnsi="Arial" w:eastAsia="宋体" w:cs="Times New Roman"/>
          <w:b/>
          <w:bCs/>
          <w:color w:val="auto"/>
          <w:szCs w:val="21"/>
          <w:highlight w:val="none"/>
        </w:rPr>
        <w:t xml:space="preserve">。</w:t>
      </w:r>
      <w:r/>
    </w:p>
    <w:p>
      <w:pPr>
        <w:ind w:firstLine="422"/>
        <w:jc w:val="left"/>
        <w:spacing w:line="360" w:lineRule="auto"/>
        <w:rPr>
          <w:rFonts w:hint="default" w:ascii="Arial" w:hAnsi="Arial" w:eastAsia="宋体" w:cs="Times New Roman"/>
          <w:b/>
          <w:bCs/>
          <w:color w:val="auto"/>
          <w:szCs w:val="21"/>
          <w:highlight w:val="none"/>
        </w:rPr>
      </w:pPr>
      <w:r>
        <w:rPr>
          <w:rFonts w:hint="default" w:ascii="Arial" w:hAnsi="Arial" w:eastAsia="宋体" w:cs="Times New Roman"/>
          <w:b/>
          <w:bCs/>
          <w:color w:val="auto"/>
          <w:szCs w:val="21"/>
          <w:highlight w:val="none"/>
        </w:rPr>
      </w:r>
      <w:r/>
    </w:p>
    <w:p>
      <w:pPr>
        <w:ind w:firstLine="422"/>
        <w:jc w:val="left"/>
        <w:spacing w:line="360" w:lineRule="auto"/>
        <w:rPr>
          <w:rFonts w:hint="default" w:ascii="Arial" w:hAnsi="Arial" w:eastAsia="宋体" w:cs="Times New Roman"/>
          <w:b/>
          <w:bCs/>
          <w:color w:val="auto"/>
          <w:szCs w:val="21"/>
          <w:highlight w:val="none"/>
        </w:rPr>
      </w:pPr>
      <w:r>
        <w:rPr>
          <w:rFonts w:hint="default" w:ascii="Arial" w:hAnsi="Arial" w:eastAsia="宋体" w:cs="Times New Roman"/>
          <w:b/>
          <w:bCs/>
          <w:color w:val="auto"/>
          <w:szCs w:val="21"/>
          <w:highlight w:val="none"/>
        </w:rPr>
      </w:r>
      <w:r/>
    </w:p>
    <w:tbl>
      <w:tblPr>
        <w:tblStyle w:val="741"/>
        <w:tblW w:w="9262" w:type="dxa"/>
        <w:tblInd w:w="93" w:type="dxa"/>
        <w:tblLayout w:type="autofit"/>
        <w:tblCellMar>
          <w:left w:w="108" w:type="dxa"/>
          <w:top w:w="0" w:type="dxa"/>
          <w:right w:w="108" w:type="dxa"/>
          <w:bottom w:w="0" w:type="dxa"/>
        </w:tblCellMar>
        <w:tblLook w:val="04A0" w:firstRow="1" w:lastRow="0" w:firstColumn="1" w:lastColumn="0" w:noHBand="0" w:noVBand="1"/>
      </w:tblPr>
      <w:tblGrid>
        <w:gridCol w:w="808"/>
        <w:gridCol w:w="3556"/>
        <w:gridCol w:w="883"/>
        <w:gridCol w:w="1627"/>
        <w:gridCol w:w="2388"/>
      </w:tblGrid>
      <w:tr>
        <w:trPr>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
                <w:bCs/>
                <w:color w:val="auto"/>
                <w:szCs w:val="21"/>
                <w:highlight w:val="none"/>
              </w:rPr>
            </w:pPr>
            <w:r>
              <w:rPr>
                <w:rFonts w:hint="eastAsia" w:ascii="Arial" w:hAnsi="Arial" w:eastAsia="宋体" w:cs="Times New Roman"/>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jc w:val="center"/>
              <w:spacing w:line="360" w:lineRule="auto"/>
              <w:widowControl/>
              <w:rPr>
                <w:rFonts w:hint="default" w:ascii="Arial" w:hAnsi="Arial" w:eastAsia="宋体" w:cs="Times New Roman"/>
                <w:b/>
                <w:bCs/>
                <w:color w:val="auto"/>
                <w:szCs w:val="21"/>
                <w:highlight w:val="none"/>
              </w:rPr>
            </w:pPr>
            <w:r>
              <w:rPr>
                <w:rFonts w:hint="eastAsia" w:ascii="Arial" w:hAnsi="Arial" w:eastAsia="宋体" w:cs="Times New Roman"/>
                <w:b/>
                <w:bCs/>
                <w:color w:val="auto"/>
                <w:szCs w:val="21"/>
                <w:highlight w:val="none"/>
              </w:rPr>
              <w:t xml:space="preserve">采购内容</w:t>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widowControl/>
              <w:rPr>
                <w:rFonts w:hint="default" w:ascii="Arial" w:hAnsi="Arial" w:eastAsia="宋体" w:cs="Times New Roman"/>
                <w:b/>
                <w:bCs/>
                <w:color w:val="auto"/>
                <w:szCs w:val="21"/>
                <w:highlight w:val="none"/>
              </w:rPr>
            </w:pPr>
            <w:r>
              <w:rPr>
                <w:rFonts w:hint="eastAsia" w:ascii="Arial" w:hAnsi="Arial" w:eastAsia="宋体" w:cs="Times New Roman"/>
                <w:b/>
                <w:bCs/>
                <w:color w:val="auto"/>
                <w:szCs w:val="21"/>
                <w:highlight w:val="none"/>
              </w:rPr>
              <w:t xml:space="preserve">数量</w:t>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
                <w:bCs/>
                <w:color w:val="auto"/>
                <w:szCs w:val="21"/>
                <w:highlight w:val="none"/>
              </w:rPr>
            </w:pPr>
            <w:r>
              <w:rPr>
                <w:rFonts w:hint="eastAsia" w:ascii="Arial" w:hAnsi="Arial" w:eastAsia="宋体" w:cs="Times New Roman"/>
                <w:b/>
                <w:bCs/>
                <w:color w:val="auto"/>
                <w:szCs w:val="21"/>
                <w:highlight w:val="none"/>
              </w:rPr>
              <w:t xml:space="preserve">投标报价</w:t>
            </w:r>
            <w:r/>
          </w:p>
        </w:tc>
        <w:tc>
          <w:tcPr>
            <w:tcBorders>
              <w:top w:val="single" w:color="000000" w:sz="4" w:space="0"/>
              <w:left w:val="none" w:color="000000" w:sz="4" w:space="0"/>
              <w:bottom w:val="single" w:color="000000" w:sz="4" w:space="0"/>
              <w:right w:val="single" w:color="000000" w:sz="4" w:space="0"/>
            </w:tcBorders>
            <w:tcW w:w="2388" w:type="dxa"/>
            <w:vAlign w:val="center"/>
            <w:textDirection w:val="lrTb"/>
            <w:noWrap/>
          </w:tcPr>
          <w:p>
            <w:pPr>
              <w:jc w:val="center"/>
              <w:spacing w:line="360" w:lineRule="auto"/>
              <w:widowControl/>
              <w:rPr>
                <w:rFonts w:hint="eastAsia" w:ascii="Arial" w:hAnsi="Arial" w:eastAsia="宋体" w:cs="Times New Roman"/>
                <w:b/>
                <w:bCs/>
                <w:color w:val="auto"/>
                <w:szCs w:val="21"/>
                <w:highlight w:val="none"/>
                <w:lang w:eastAsia="zh-CN"/>
              </w:rPr>
            </w:pPr>
            <w:r>
              <w:rPr>
                <w:rFonts w:hint="eastAsia" w:ascii="Arial" w:hAnsi="Arial" w:cs="Times New Roman"/>
                <w:b/>
                <w:bCs/>
                <w:color w:val="auto"/>
                <w:szCs w:val="21"/>
                <w:highlight w:val="none"/>
                <w:lang w:val="en-US" w:eastAsia="zh-CN"/>
              </w:rPr>
              <w:t xml:space="preserve">备注</w:t>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146"/>
              <w:jc w:val="center"/>
              <w:spacing w:line="360" w:lineRule="auto"/>
              <w:rPr>
                <w:rFonts w:ascii="Arial" w:hAnsi="Arial" w:cs="Arial"/>
                <w:color w:val="auto"/>
                <w:szCs w:val="21"/>
                <w:highlight w:val="none"/>
              </w:rPr>
            </w:pPr>
            <w:r>
              <w:rPr>
                <w:rFonts w:ascii="Arial" w:hAnsi="Arial"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rPr>
                <w:rFonts w:hint="default" w:ascii="Arial" w:hAnsi="Arial" w:eastAsia="宋体" w:cs="Arial"/>
                <w:color w:val="auto"/>
                <w:szCs w:val="21"/>
                <w:highlight w:val="none"/>
              </w:rPr>
            </w:pPr>
            <w:r>
              <w:rPr>
                <w:rFonts w:hint="default" w:ascii="Arial" w:hAnsi="Arial" w:eastAsia="宋体"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left"/>
              <w:spacing w:line="360" w:lineRule="auto"/>
              <w:widowControl/>
              <w:rPr>
                <w:rFonts w:hint="default" w:ascii="Times New Roman" w:hAnsi="Times New Roman" w:eastAsia="宋体" w:cs="Times New Roman"/>
                <w:color w:val="auto"/>
                <w:sz w:val="20"/>
                <w:highlight w:val="none"/>
              </w:rPr>
            </w:pPr>
            <w:r>
              <w:rPr>
                <w:rFonts w:hint="default" w:ascii="Times New Roman" w:hAnsi="Times New Roman" w:eastAsia="宋体" w:cs="Times New Roman"/>
                <w:color w:val="auto"/>
                <w:sz w:val="20"/>
                <w:highlight w:val="none"/>
              </w:rPr>
            </w:r>
            <w:r/>
          </w:p>
        </w:tc>
        <w:tc>
          <w:tcPr>
            <w:tcBorders>
              <w:top w:val="single" w:color="000000" w:sz="4" w:space="0"/>
              <w:left w:val="none" w:color="000000" w:sz="4" w:space="0"/>
              <w:bottom w:val="single" w:color="000000" w:sz="4" w:space="0"/>
              <w:right w:val="single" w:color="000000" w:sz="4" w:space="0"/>
            </w:tcBorders>
            <w:tcW w:w="2388" w:type="dxa"/>
            <w:vAlign w:val="center"/>
            <w:vMerge w:val="restart"/>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146"/>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rPr>
                <w:rFonts w:hint="default" w:ascii="Arial" w:hAnsi="Arial" w:eastAsia="宋体" w:cs="Arial"/>
                <w:color w:val="auto"/>
                <w:szCs w:val="21"/>
                <w:highlight w:val="none"/>
              </w:rPr>
            </w:pPr>
            <w:r>
              <w:rPr>
                <w:rFonts w:hint="default" w:ascii="Arial" w:hAnsi="Arial" w:eastAsia="宋体"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146"/>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pStyle w:val="1146"/>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146"/>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rPr>
                <w:rFonts w:hint="default" w:ascii="Arial" w:hAnsi="Arial" w:eastAsia="宋体" w:cs="Arial"/>
                <w:color w:val="auto"/>
                <w:szCs w:val="21"/>
                <w:highlight w:val="none"/>
              </w:rPr>
            </w:pPr>
            <w:r>
              <w:rPr>
                <w:rFonts w:hint="default" w:ascii="Arial" w:hAnsi="Arial" w:eastAsia="宋体"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146"/>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pStyle w:val="1146"/>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146"/>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rPr>
                <w:rFonts w:hint="default" w:ascii="Arial" w:hAnsi="Arial" w:eastAsia="宋体" w:cs="Arial"/>
                <w:color w:val="auto"/>
                <w:szCs w:val="21"/>
                <w:highlight w:val="none"/>
              </w:rPr>
            </w:pPr>
            <w:r>
              <w:rPr>
                <w:rFonts w:hint="default" w:ascii="Arial" w:hAnsi="Arial" w:eastAsia="宋体" w:cs="Arial"/>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r>
        <w:trPr>
          <w:cantSplit/>
          <w:trHeight w:val="202"/>
        </w:trPr>
        <w:tc>
          <w:tcPr>
            <w:tcBorders>
              <w:top w:val="single" w:color="000000" w:sz="4" w:space="0"/>
              <w:left w:val="singl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3556" w:type="dxa"/>
            <w:vAlign w:val="center"/>
            <w:textDirection w:val="lrTb"/>
            <w:noWrap/>
          </w:tcPr>
          <w:p>
            <w:pPr>
              <w:pStyle w:val="1146"/>
              <w:jc w:val="center"/>
              <w:spacing w:line="360" w:lineRule="auto"/>
              <w:rPr>
                <w:rFonts w:ascii="Arial" w:hAnsi="Arial" w:cs="Arial"/>
                <w:color w:val="auto"/>
                <w:szCs w:val="21"/>
                <w:highlight w:val="none"/>
                <w:lang w:eastAsia="zh-CN"/>
              </w:rPr>
            </w:pPr>
            <w:r>
              <w:rPr>
                <w:rFonts w:ascii="Arial" w:hAnsi="Arial" w:cs="Arial"/>
                <w:color w:val="auto"/>
                <w:szCs w:val="21"/>
                <w:highlight w:val="none"/>
                <w:lang w:eastAsia="zh-CN"/>
              </w:rPr>
              <w:t xml:space="preserve">…</w:t>
            </w:r>
            <w:r/>
          </w:p>
        </w:tc>
        <w:tc>
          <w:tcPr>
            <w:tcBorders>
              <w:top w:val="single" w:color="000000" w:sz="4" w:space="0"/>
              <w:left w:val="none" w:color="000000" w:sz="4" w:space="0"/>
              <w:bottom w:val="single" w:color="000000" w:sz="4" w:space="0"/>
              <w:right w:val="single" w:color="000000" w:sz="4" w:space="0"/>
            </w:tcBorders>
            <w:tcW w:w="883" w:type="dxa"/>
            <w:vAlign w:val="center"/>
            <w:textDirection w:val="lrTb"/>
            <w:noWrap/>
          </w:tcPr>
          <w:p>
            <w:pPr>
              <w:jc w:val="center"/>
              <w:spacing w:line="360" w:lineRule="auto"/>
              <w:rPr>
                <w:rFonts w:hint="default" w:ascii="Arial" w:hAnsi="Arial" w:eastAsia="宋体" w:cs="Arial"/>
                <w:color w:val="auto"/>
                <w:szCs w:val="21"/>
                <w:highlight w:val="none"/>
              </w:rPr>
            </w:pPr>
            <w:r>
              <w:rPr>
                <w:rFonts w:hint="default" w:ascii="Arial" w:hAnsi="Arial" w:eastAsia="宋体" w:cs="Arial"/>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1627" w:type="dxa"/>
            <w:vAlign w:val="center"/>
            <w:textDirection w:val="lrTb"/>
            <w:noWrap w:val="false"/>
          </w:tcPr>
          <w:p>
            <w:pPr>
              <w:jc w:val="center"/>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t xml:space="preserve">…</w:t>
            </w:r>
            <w:r/>
          </w:p>
        </w:tc>
        <w:tc>
          <w:tcPr>
            <w:tcBorders>
              <w:top w:val="single" w:color="000000" w:sz="4" w:space="0"/>
              <w:left w:val="none" w:color="000000" w:sz="4" w:space="0"/>
              <w:bottom w:val="single" w:color="000000" w:sz="4" w:space="0"/>
              <w:right w:val="single" w:color="000000" w:sz="4" w:space="0"/>
            </w:tcBorders>
            <w:tcW w:w="0" w:type="auto"/>
            <w:vAlign w:val="center"/>
            <w:vMerge w:val="continue"/>
            <w:textDirection w:val="lrTb"/>
            <w:noWrap w:val="false"/>
          </w:tcPr>
          <w:p>
            <w:pPr>
              <w:jc w:val="left"/>
              <w:spacing w:line="360" w:lineRule="auto"/>
              <w:widowControl/>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r>
            <w:r/>
          </w:p>
        </w:tc>
      </w:tr>
    </w:tbl>
    <w:p>
      <w:pPr>
        <w:ind w:firstLine="420"/>
        <w:jc w:val="left"/>
        <w:spacing w:line="360" w:lineRule="auto"/>
        <w:widowControl/>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ind w:firstLine="420"/>
        <w:jc w:val="left"/>
        <w:spacing w:line="360" w:lineRule="auto"/>
        <w:widowControl/>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、付款前乙方需出具发票至甲方（使用方）。如乙方未开具合规发票给甲方，甲方有权拒绝付款，由此产生的纠纷由乙方承担一切后果。同时因乙方提供的票据不合法而导致的甲方损失的，乙方须承担赔偿责任。</w:t>
      </w:r>
      <w:r/>
    </w:p>
    <w:p>
      <w:pPr>
        <w:ind w:firstLine="420"/>
        <w:jc w:val="left"/>
        <w:spacing w:line="360" w:lineRule="auto"/>
        <w:widowControl/>
        <w:tabs>
          <w:tab w:val="left" w:pos="1980" w:leader="none"/>
        </w:tabs>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名称：</w:t>
      </w:r>
      <w:r>
        <w:rPr>
          <w:rFonts w:hint="default" w:ascii="Arial" w:hAnsi="Arial" w:eastAsia="宋体" w:cs="Times New Roman"/>
          <w:color w:val="auto"/>
          <w:szCs w:val="21"/>
          <w:highlight w:val="none"/>
          <w:u w:val="single"/>
        </w:rPr>
        <w:t xml:space="preserve">                                              </w:t>
      </w:r>
      <w:r/>
    </w:p>
    <w:p>
      <w:pPr>
        <w:ind w:firstLine="420"/>
        <w:jc w:val="left"/>
        <w:spacing w:line="360" w:lineRule="auto"/>
        <w:widowControl/>
        <w:tabs>
          <w:tab w:val="left" w:pos="1980" w:leader="none"/>
        </w:tabs>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地址、电话：</w:t>
      </w:r>
      <w:r>
        <w:rPr>
          <w:rFonts w:hint="default" w:ascii="Arial" w:hAnsi="Arial" w:eastAsia="宋体" w:cs="Times New Roman"/>
          <w:color w:val="auto"/>
          <w:szCs w:val="21"/>
          <w:highlight w:val="none"/>
          <w:u w:val="single"/>
        </w:rPr>
        <w:t xml:space="preserve">                                        </w:t>
      </w:r>
      <w:r/>
    </w:p>
    <w:p>
      <w:pPr>
        <w:ind w:firstLine="420"/>
        <w:jc w:val="left"/>
        <w:spacing w:line="360" w:lineRule="auto"/>
        <w:widowControl/>
        <w:tabs>
          <w:tab w:val="left" w:pos="1980" w:leader="none"/>
        </w:tabs>
        <w:rPr>
          <w:rFonts w:hint="default" w:ascii="Arial" w:hAnsi="Arial" w:eastAsia="宋体" w:cs="Times New Roman"/>
          <w:color w:val="auto"/>
          <w:szCs w:val="21"/>
          <w:highlight w:val="none"/>
          <w:u w:val="single"/>
        </w:rPr>
      </w:pPr>
      <w:r>
        <w:rPr>
          <w:rFonts w:hint="eastAsia" w:ascii="Arial" w:hAnsi="Arial" w:eastAsia="宋体" w:cs="Times New Roman"/>
          <w:color w:val="auto"/>
          <w:szCs w:val="21"/>
          <w:highlight w:val="none"/>
        </w:rPr>
        <w:t xml:space="preserve">开户行：</w:t>
      </w:r>
      <w:r>
        <w:rPr>
          <w:rFonts w:hint="default" w:ascii="Arial" w:hAnsi="Arial" w:eastAsia="宋体" w:cs="Times New Roman"/>
          <w:color w:val="auto"/>
          <w:szCs w:val="21"/>
          <w:highlight w:val="none"/>
          <w:u w:val="single"/>
        </w:rPr>
        <w:t xml:space="preserve">                                            </w:t>
      </w:r>
      <w:r/>
    </w:p>
    <w:p>
      <w:pPr>
        <w:ind w:firstLine="420"/>
        <w:jc w:val="left"/>
        <w:spacing w:line="360" w:lineRule="auto"/>
        <w:widowControl/>
        <w:tabs>
          <w:tab w:val="left" w:pos="1980" w:leader="none"/>
        </w:tabs>
        <w:rPr>
          <w:rFonts w:hint="default" w:ascii="Times New Roman" w:hAnsi="Times New Roman" w:eastAsia="宋体" w:cs="Times New Roman"/>
          <w:color w:val="auto"/>
          <w:highlight w:val="none"/>
        </w:rPr>
      </w:pPr>
      <w:r>
        <w:rPr>
          <w:rFonts w:hint="eastAsia" w:ascii="Arial" w:hAnsi="Arial" w:eastAsia="宋体" w:cs="Times New Roman"/>
          <w:color w:val="auto"/>
          <w:szCs w:val="21"/>
          <w:highlight w:val="none"/>
        </w:rPr>
        <w:t xml:space="preserve">账号：</w:t>
      </w:r>
      <w:r>
        <w:rPr>
          <w:rFonts w:hint="default" w:ascii="Arial" w:hAnsi="Arial" w:eastAsia="宋体" w:cs="Times New Roman"/>
          <w:color w:val="auto"/>
          <w:szCs w:val="21"/>
          <w:highlight w:val="none"/>
          <w:u w:val="single"/>
        </w:rPr>
        <w:t xml:space="preserve">                                              </w:t>
      </w:r>
      <w:r/>
    </w:p>
    <w:p>
      <w:pPr>
        <w:ind w:firstLine="422"/>
        <w:spacing w:line="360" w:lineRule="auto"/>
        <w:rPr>
          <w:rFonts w:hint="default" w:ascii="Arial" w:hAnsi="Arial" w:eastAsia="宋体" w:cs="Times New Roman"/>
          <w:b/>
          <w:color w:val="auto"/>
          <w:szCs w:val="21"/>
          <w:highlight w:val="none"/>
        </w:rPr>
      </w:pPr>
      <w:r>
        <w:rPr>
          <w:rFonts w:hint="eastAsia" w:ascii="Arial" w:hAnsi="Arial" w:eastAsia="宋体" w:cs="Times New Roman"/>
          <w:b/>
          <w:color w:val="auto"/>
          <w:szCs w:val="21"/>
          <w:highlight w:val="none"/>
        </w:rPr>
        <w:t xml:space="preserve">十、以下情形付款义务方有权拒绝付款：</w:t>
      </w:r>
      <w:r/>
    </w:p>
    <w:p>
      <w:pPr>
        <w:ind w:firstLine="420"/>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Arial" w:eastAsia="宋体" w:cs="Times New Roman"/>
          <w:color w:val="auto"/>
          <w:szCs w:val="21"/>
          <w:highlight w:val="none"/>
        </w:rPr>
        <w:t xml:space="preserve">、经验收（检测）质量不合格，产品不合格且未在合同约定的期限内整改到位的。</w:t>
      </w:r>
      <w:r/>
    </w:p>
    <w:p>
      <w:pPr>
        <w:ind w:firstLine="420"/>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、乙方所供货物与采购最终确定的主要技术参数不符，不能甚至拒绝在合同约定的期限内整改到位的，对影响到使用方正常教学（工作）的，甲方保留进一步处罚的权利。</w:t>
      </w:r>
      <w:r/>
    </w:p>
    <w:p>
      <w:pPr>
        <w:ind w:firstLine="420"/>
        <w:spacing w:line="360" w:lineRule="auto"/>
        <w:rPr>
          <w:rFonts w:hint="default" w:ascii="Arial" w:hAnsi="Arial" w:eastAsia="宋体" w:cs="Times New Roman"/>
          <w:color w:val="auto"/>
          <w:szCs w:val="21"/>
          <w:highlight w:val="none"/>
        </w:rPr>
      </w:pPr>
      <w:r>
        <w:rPr>
          <w:rFonts w:hint="eastAsia" w:ascii="Arial" w:hAnsi="Arial" w:eastAsia="宋体" w:cs="Times New Roman"/>
          <w:color w:val="auto"/>
          <w:szCs w:val="21"/>
          <w:highlight w:val="none"/>
        </w:rPr>
        <w:t xml:space="preserve">注：以下货物（产品）不予退还情形：</w:t>
      </w:r>
      <w:r/>
    </w:p>
    <w:p>
      <w:pPr>
        <w:ind w:firstLine="420"/>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Arial" w:eastAsia="宋体" w:cs="Times New Roman"/>
          <w:color w:val="auto"/>
          <w:szCs w:val="21"/>
          <w:highlight w:val="none"/>
        </w:rPr>
        <w:t xml:space="preserve">、经验收（检测）质量不合格的，由相关部门处理，一律不予退还。</w:t>
      </w:r>
      <w:r/>
    </w:p>
    <w:p>
      <w:pPr>
        <w:ind w:firstLine="420"/>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、不合格的产品如涉及师生安全、健康的，一律由相关部门予以销毁。</w:t>
      </w:r>
      <w:r/>
    </w:p>
    <w:p>
      <w:pPr>
        <w:ind w:firstLine="422"/>
        <w:spacing w:line="360" w:lineRule="auto"/>
        <w:rPr>
          <w:rFonts w:hint="default" w:ascii="Arial" w:hAnsi="Arial" w:eastAsia="宋体" w:cs="Times New Roman"/>
          <w:b/>
          <w:color w:val="auto"/>
          <w:szCs w:val="21"/>
          <w:highlight w:val="none"/>
        </w:rPr>
      </w:pPr>
      <w:r/>
      <w:bookmarkStart w:id="16" w:name="_Toc356916303"/>
      <w:r/>
      <w:bookmarkEnd w:id="16"/>
      <w:r/>
      <w:bookmarkStart w:id="17" w:name="_Toc356916345"/>
      <w:r/>
      <w:bookmarkEnd w:id="17"/>
      <w:r>
        <w:rPr>
          <w:rFonts w:hint="eastAsia" w:ascii="Arial" w:hAnsi="宋体" w:eastAsia="宋体" w:cs="Times New Roman"/>
          <w:b/>
          <w:color w:val="auto"/>
          <w:szCs w:val="21"/>
          <w:highlight w:val="none"/>
        </w:rPr>
        <w:t xml:space="preserve">十一、储放和保护：</w:t>
      </w:r>
      <w:r/>
    </w:p>
    <w:p>
      <w:pPr>
        <w:ind w:firstLine="420"/>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1</w:t>
      </w:r>
      <w:r>
        <w:rPr>
          <w:rFonts w:hint="eastAsia" w:ascii="Arial" w:hAnsi="Arial" w:eastAsia="宋体" w:cs="Times New Roman"/>
          <w:color w:val="auto"/>
          <w:szCs w:val="21"/>
          <w:highlight w:val="none"/>
        </w:rPr>
        <w:t xml:space="preserve">、</w:t>
      </w:r>
      <w:r>
        <w:rPr>
          <w:rFonts w:hint="eastAsia" w:ascii="Arial" w:hAnsi="宋体" w:eastAsia="宋体" w:cs="Times New Roman"/>
          <w:color w:val="auto"/>
          <w:szCs w:val="21"/>
          <w:highlight w:val="none"/>
        </w:rPr>
        <w:t xml:space="preserve">货物由乙方运至甲方（使用方）指定地点，验收交货前存放及保管概由乙方负责。</w:t>
      </w:r>
      <w:r/>
    </w:p>
    <w:p>
      <w:pPr>
        <w:ind w:firstLine="422"/>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十二、技术条款：</w:t>
      </w:r>
      <w:r/>
    </w:p>
    <w:p>
      <w:pPr>
        <w:ind w:firstLine="420"/>
        <w:spacing w:line="360" w:lineRule="auto"/>
        <w:rPr>
          <w:rFonts w:hint="default" w:ascii="Times New Roman" w:hAnsi="Times New Roman" w:eastAsia="宋体" w:cs="Times New Roman"/>
          <w:color w:val="auto"/>
          <w:highlight w:val="none"/>
        </w:rPr>
      </w:pPr>
      <w:r>
        <w:rPr>
          <w:rFonts w:hint="eastAsia" w:ascii="Arial" w:hAnsi="宋体" w:eastAsia="宋体" w:cs="Times New Roman"/>
          <w:color w:val="auto"/>
          <w:szCs w:val="21"/>
          <w:highlight w:val="none"/>
        </w:rPr>
        <w:t xml:space="preserve">乙方所供货物须符合招标文件设计图纸和国家标准及规范要求，乙方投标文件中列明的设备及元器件品牌、生产地、制造厂商、质量保证等必须符合相关的国家标准和规范。</w:t>
      </w:r>
      <w:r/>
    </w:p>
    <w:p>
      <w:pPr>
        <w:ind w:firstLine="422"/>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十三、质量保证：</w:t>
      </w:r>
      <w:r/>
    </w:p>
    <w:p>
      <w:pPr>
        <w:ind w:firstLine="420"/>
        <w:jc w:val="left"/>
        <w:spacing w:line="360" w:lineRule="auto"/>
        <w:rPr>
          <w:rFonts w:hint="default" w:ascii="Times New Roman" w:hAnsi="Times New Roman" w:eastAsia="宋体" w:cs="Times New Roman"/>
          <w:color w:val="auto"/>
          <w:highlight w:val="none"/>
        </w:rPr>
      </w:pPr>
      <w:r>
        <w:rPr>
          <w:rFonts w:hint="eastAsia" w:ascii="Arial" w:hAnsi="宋体" w:eastAsia="宋体" w:cs="Times New Roman"/>
          <w:color w:val="auto"/>
          <w:szCs w:val="21"/>
          <w:highlight w:val="none"/>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十四、货物检测（如有涉及）：</w:t>
      </w:r>
      <w:r/>
    </w:p>
    <w:p>
      <w:pPr>
        <w:ind w:firstLine="420"/>
        <w:spacing w:line="360" w:lineRule="auto"/>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t xml:space="preserve">1</w:t>
      </w:r>
      <w:r>
        <w:rPr>
          <w:rFonts w:hint="eastAsia" w:ascii="Arial" w:hAnsi="宋体" w:eastAsia="宋体" w:cs="Times New Roman"/>
          <w:bCs/>
          <w:color w:val="auto"/>
          <w:szCs w:val="21"/>
          <w:highlight w:val="none"/>
        </w:rPr>
        <w:t xml:space="preserve">、甲方（使用方）有权委托第三方有资质的检测机构对中标人的生产过程及原材、工艺进行检查检测，检测内容为标书中技术参数要求，包括物品的质地、环保等性能是否达标，对于不按国家有关质量要求、采购人提出的技术及生产工艺要求以及中标人承诺进行生产的，有权提出整改、返工等要求，中标人必须整改到位不得以任何理由拒绝。</w:t>
      </w:r>
      <w:r/>
    </w:p>
    <w:p>
      <w:pPr>
        <w:ind w:firstLine="420"/>
        <w:spacing w:line="360" w:lineRule="auto"/>
        <w:rPr>
          <w:rFonts w:hint="default" w:ascii="Arial" w:hAnsi="Arial" w:eastAsia="宋体" w:cs="Times New Roman"/>
          <w:bCs/>
          <w:color w:val="auto"/>
          <w:szCs w:val="21"/>
          <w:highlight w:val="none"/>
        </w:rPr>
      </w:pPr>
      <w:r>
        <w:rPr>
          <w:rFonts w:hint="default" w:ascii="Arial" w:hAnsi="Arial" w:eastAsia="宋体" w:cs="Times New Roman"/>
          <w:bCs/>
          <w:color w:val="auto"/>
          <w:szCs w:val="21"/>
          <w:highlight w:val="none"/>
        </w:rPr>
        <w:t xml:space="preserve">2</w:t>
      </w:r>
      <w:r>
        <w:rPr>
          <w:rFonts w:hint="eastAsia" w:ascii="Arial" w:hAnsi="宋体" w:eastAsia="宋体" w:cs="Times New Roman"/>
          <w:bCs/>
          <w:color w:val="auto"/>
          <w:szCs w:val="21"/>
          <w:highlight w:val="none"/>
        </w:rPr>
        <w:t xml:space="preserve">、产品到学校后的质量抽查。对于中标人提供的货物，送达后采购人有权要求第三方有资质的检测机构从中随机抽取进行全项检测（抽检比例不高于</w:t>
      </w:r>
      <w:r>
        <w:rPr>
          <w:rFonts w:hint="default" w:ascii="Arial" w:hAnsi="宋体" w:eastAsia="宋体" w:cs="Times New Roman"/>
          <w:bCs/>
          <w:color w:val="auto"/>
          <w:szCs w:val="21"/>
          <w:highlight w:val="none"/>
        </w:rPr>
        <w:t xml:space="preserve">1%</w:t>
      </w:r>
      <w:r>
        <w:rPr>
          <w:rFonts w:hint="eastAsia" w:ascii="Arial" w:hAnsi="宋体" w:eastAsia="宋体" w:cs="Times New Roman"/>
          <w:bCs/>
          <w:color w:val="auto"/>
          <w:szCs w:val="21"/>
          <w:highlight w:val="none"/>
        </w:rPr>
        <w:t xml:space="preserve">），中标人不得指定不得拒绝，检测合格方可交付使用方使用。</w:t>
      </w:r>
      <w:r/>
    </w:p>
    <w:p>
      <w:pPr>
        <w:ind w:firstLine="420"/>
        <w:spacing w:line="360" w:lineRule="auto"/>
        <w:rPr>
          <w:rFonts w:hint="default" w:ascii="Times New Roman" w:hAnsi="Times New Roman" w:eastAsia="宋体" w:cs="Times New Roman"/>
          <w:color w:val="auto"/>
          <w:highlight w:val="none"/>
        </w:rPr>
      </w:pPr>
      <w:r>
        <w:rPr>
          <w:rFonts w:hint="default" w:ascii="Arial" w:hAnsi="Arial" w:eastAsia="宋体" w:cs="Times New Roman"/>
          <w:bCs/>
          <w:color w:val="auto"/>
          <w:szCs w:val="21"/>
          <w:highlight w:val="none"/>
        </w:rPr>
        <w:t xml:space="preserve">3</w:t>
      </w:r>
      <w:r>
        <w:rPr>
          <w:rFonts w:hint="eastAsia" w:ascii="Arial" w:hAnsi="宋体" w:eastAsia="宋体" w:cs="Times New Roman"/>
          <w:bCs/>
          <w:color w:val="auto"/>
          <w:szCs w:val="21"/>
          <w:highlight w:val="none"/>
        </w:rPr>
        <w:t xml:space="preserve">、对于以上的随机检测费用由中标人承担（投标报价时应考虑在内）。</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十五、本合同应为完整货物及功能的提供：</w:t>
      </w:r>
      <w:r/>
    </w:p>
    <w:p>
      <w:pPr>
        <w:ind w:firstLine="420"/>
        <w:jc w:val="left"/>
        <w:spacing w:line="360" w:lineRule="auto"/>
        <w:rPr>
          <w:rFonts w:hint="default" w:ascii="Times New Roman" w:hAnsi="Times New Roman" w:eastAsia="宋体" w:cs="Times New Roman"/>
          <w:color w:val="auto"/>
          <w:highlight w:val="none"/>
        </w:rPr>
      </w:pPr>
      <w:r>
        <w:rPr>
          <w:rFonts w:hint="eastAsia" w:ascii="Arial" w:hAnsi="宋体" w:eastAsia="宋体" w:cs="Times New Roman"/>
          <w:color w:val="auto"/>
          <w:szCs w:val="21"/>
          <w:highlight w:val="none"/>
        </w:rPr>
        <w:t xml:space="preserve">对于甲方在标书中所要求的及乙方在投标文件和合同中所承诺提供的功能，乙方应无条件提供，由于设计及其他原因所造成的额外费用由乙方自行承担。由于甲方要求删除的部分及功能，乙方应予以在合同总价中扣除该部分的价格。</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十六、售后服务：</w:t>
      </w:r>
      <w:r/>
    </w:p>
    <w:p>
      <w:pPr>
        <w:ind w:firstLine="420"/>
        <w:jc w:val="left"/>
        <w:spacing w:line="360" w:lineRule="auto"/>
        <w:rPr>
          <w:rFonts w:hint="eastAsia" w:ascii="Arial" w:hAnsi="宋体" w:eastAsia="宋体" w:cs="Times New Roman"/>
          <w:color w:val="auto"/>
          <w:szCs w:val="21"/>
          <w:highlight w:val="none"/>
        </w:rPr>
      </w:pPr>
      <w:r>
        <w:rPr>
          <w:rFonts w:hint="default" w:ascii="Arial" w:hAnsi="宋体" w:eastAsia="宋体" w:cs="Times New Roman"/>
          <w:color w:val="auto"/>
          <w:szCs w:val="21"/>
          <w:highlight w:val="none"/>
        </w:rPr>
        <w:t xml:space="preserve">1</w:t>
      </w:r>
      <w:r>
        <w:rPr>
          <w:rFonts w:hint="eastAsia" w:ascii="Arial" w:hAnsi="宋体" w:eastAsia="宋体" w:cs="Times New Roman"/>
          <w:color w:val="auto"/>
          <w:szCs w:val="21"/>
          <w:highlight w:val="none"/>
        </w:rPr>
        <w:t xml:space="preserve">、免费质保期</w:t>
      </w:r>
      <w:r>
        <w:rPr>
          <w:rFonts w:hint="eastAsia" w:ascii="Arial" w:hAnsi="宋体" w:eastAsia="宋体" w:cs="Times New Roman"/>
          <w:color w:val="auto"/>
          <w:szCs w:val="21"/>
          <w:highlight w:val="none"/>
          <w:u w:val="single"/>
        </w:rPr>
        <w:t xml:space="preserve">1</w:t>
      </w:r>
      <w:r>
        <w:rPr>
          <w:rFonts w:hint="eastAsia" w:ascii="Arial" w:hAnsi="宋体" w:eastAsia="宋体" w:cs="Times New Roman"/>
          <w:color w:val="auto"/>
          <w:szCs w:val="21"/>
          <w:highlight w:val="none"/>
        </w:rPr>
        <w:t xml:space="preserve">年</w:t>
      </w:r>
      <w:r>
        <w:rPr>
          <w:rFonts w:hint="eastAsia" w:ascii="Arial" w:hAnsi="宋体" w:cs="Times New Roman"/>
          <w:color w:val="auto"/>
          <w:szCs w:val="21"/>
          <w:highlight w:val="none"/>
          <w:lang w:eastAsia="zh-CN"/>
        </w:rPr>
        <w:t xml:space="preserve">（</w:t>
      </w:r>
      <w:r>
        <w:rPr>
          <w:rFonts w:hint="eastAsia" w:ascii="Arial" w:hAnsi="Arial" w:cs="Times New Roman"/>
          <w:color w:val="auto"/>
          <w:szCs w:val="21"/>
          <w:highlight w:val="none"/>
          <w:lang w:eastAsia="zh-CN"/>
        </w:rPr>
        <w:t xml:space="preserve">自最终验收合格之日起计算</w:t>
      </w:r>
      <w:r>
        <w:rPr>
          <w:rFonts w:hint="eastAsia" w:ascii="Arial" w:hAnsi="宋体" w:cs="Times New Roman"/>
          <w:color w:val="auto"/>
          <w:szCs w:val="21"/>
          <w:highlight w:val="none"/>
          <w:lang w:eastAsia="zh-CN"/>
        </w:rPr>
        <w:t xml:space="preserve">），</w:t>
      </w:r>
      <w:r>
        <w:rPr>
          <w:rFonts w:hint="eastAsia" w:ascii="Arial" w:hAnsi="宋体" w:eastAsia="宋体" w:cs="Times New Roman"/>
          <w:color w:val="auto"/>
          <w:szCs w:val="21"/>
          <w:highlight w:val="none"/>
        </w:rPr>
        <w:t xml:space="preserve">质保期内，</w:t>
      </w:r>
      <w:r>
        <w:rPr>
          <w:rFonts w:hint="eastAsia" w:ascii="Arial" w:hAnsi="宋体" w:cs="Times New Roman"/>
          <w:color w:val="auto"/>
          <w:szCs w:val="21"/>
          <w:highlight w:val="none"/>
          <w:lang w:val="en-US" w:eastAsia="zh-CN"/>
        </w:rPr>
        <w:t xml:space="preserve">乙方</w:t>
      </w:r>
      <w:r>
        <w:rPr>
          <w:rFonts w:hint="eastAsia" w:ascii="Arial" w:hAnsi="宋体" w:eastAsia="宋体" w:cs="Times New Roman"/>
          <w:color w:val="auto"/>
          <w:szCs w:val="21"/>
          <w:highlight w:val="none"/>
        </w:rPr>
        <w:t xml:space="preserve">应对设备因自身质量问题出现的故障免费提供维修、更换零部件等服务，确保设备正常运行；因</w:t>
      </w:r>
      <w:r>
        <w:rPr>
          <w:rFonts w:hint="eastAsia" w:ascii="Arial" w:hAnsi="宋体" w:cs="Times New Roman"/>
          <w:color w:val="auto"/>
          <w:szCs w:val="21"/>
          <w:highlight w:val="none"/>
          <w:lang w:val="en-US" w:eastAsia="zh-CN"/>
        </w:rPr>
        <w:t xml:space="preserve">甲方</w:t>
      </w:r>
      <w:r>
        <w:rPr>
          <w:rFonts w:hint="eastAsia" w:ascii="Arial" w:hAnsi="宋体" w:eastAsia="宋体" w:cs="Times New Roman"/>
          <w:color w:val="auto"/>
          <w:szCs w:val="21"/>
          <w:highlight w:val="none"/>
        </w:rPr>
        <w:t xml:space="preserve">使用不当导致的故障，</w:t>
      </w:r>
      <w:r>
        <w:rPr>
          <w:rFonts w:hint="eastAsia" w:ascii="Arial" w:hAnsi="宋体" w:cs="Times New Roman"/>
          <w:color w:val="auto"/>
          <w:szCs w:val="21"/>
          <w:highlight w:val="none"/>
          <w:lang w:val="en-US" w:eastAsia="zh-CN"/>
        </w:rPr>
        <w:t xml:space="preserve">乙方</w:t>
      </w:r>
      <w:r>
        <w:rPr>
          <w:rFonts w:hint="eastAsia" w:ascii="Arial" w:hAnsi="宋体" w:eastAsia="宋体" w:cs="Times New Roman"/>
          <w:color w:val="auto"/>
          <w:szCs w:val="21"/>
          <w:highlight w:val="none"/>
        </w:rPr>
        <w:t xml:space="preserve">可提供有偿服务，费用由双方协商确定。</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宋体" w:eastAsia="宋体" w:cs="Times New Roman"/>
          <w:color w:val="auto"/>
          <w:szCs w:val="21"/>
          <w:highlight w:val="none"/>
        </w:rPr>
        <w:t xml:space="preserve">2</w:t>
      </w:r>
      <w:r>
        <w:rPr>
          <w:rFonts w:hint="eastAsia" w:ascii="Arial" w:hAnsi="宋体" w:eastAsia="宋体" w:cs="Times New Roman"/>
          <w:color w:val="auto"/>
          <w:szCs w:val="21"/>
          <w:highlight w:val="none"/>
        </w:rPr>
        <w:t xml:space="preserve">、其他见乙方投标文件中的承诺。</w:t>
      </w:r>
      <w:r/>
    </w:p>
    <w:p>
      <w:pPr>
        <w:ind w:firstLine="422"/>
        <w:jc w:val="left"/>
        <w:spacing w:line="360" w:lineRule="auto"/>
        <w:rPr>
          <w:rFonts w:hint="eastAsia" w:ascii="Arial" w:hAnsi="宋体" w:eastAsia="宋体" w:cs="Times New Roman"/>
          <w:b/>
          <w:color w:val="auto"/>
          <w:szCs w:val="21"/>
          <w:highlight w:val="none"/>
        </w:rPr>
      </w:pPr>
      <w:r>
        <w:rPr>
          <w:rFonts w:hint="eastAsia" w:ascii="Arial" w:hAnsi="宋体" w:eastAsia="宋体" w:cs="Times New Roman"/>
          <w:b/>
          <w:color w:val="auto"/>
          <w:szCs w:val="21"/>
          <w:highlight w:val="none"/>
        </w:rPr>
        <w:t xml:space="preserve">十七、不可抗拒事故：</w:t>
      </w:r>
      <w:r/>
    </w:p>
    <w:p>
      <w:pPr>
        <w:ind w:firstLine="422"/>
        <w:jc w:val="left"/>
        <w:spacing w:line="360" w:lineRule="auto"/>
        <w:rPr>
          <w:rFonts w:hint="eastAsia" w:ascii="Arial" w:hAnsi="宋体" w:cs="Times New Roman"/>
          <w:b w:val="0"/>
          <w:bCs/>
          <w:color w:val="auto"/>
          <w:szCs w:val="21"/>
          <w:highlight w:val="none"/>
          <w:lang w:val="en-US" w:eastAsia="zh-CN"/>
        </w:rPr>
      </w:pPr>
      <w:r>
        <w:rPr>
          <w:rFonts w:hint="eastAsia" w:ascii="Arial" w:hAnsi="宋体" w:cs="Times New Roman"/>
          <w:b w:val="0"/>
          <w:bCs/>
          <w:color w:val="auto"/>
          <w:szCs w:val="21"/>
          <w:highlight w:val="none"/>
          <w:lang w:val="en-US" w:eastAsia="zh-CN"/>
        </w:rPr>
        <w:t xml:space="preserve">若遇不可抗力因素（包括但不限于地震、洪水、台风等自然灾害，政府征收、征用、政策调整等行政行为，战争、罢工等社会异常事件）导致交货延迟，乙方应立即告知甲方，并应在不可抗力发生后7个工作日内将当地有关部门出具的事故证明书以书面形式通知甲方，双方协商顺延交货期。在上述情况下，乙方仍应采取必要措施尽快交货。意外事故持续15天以上，甲方有权取消此合同，并保留要求乙方赔偿的权利。</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十八、甲方权力及义务：</w:t>
      </w:r>
      <w:r/>
    </w:p>
    <w:p>
      <w:pPr>
        <w:ind w:firstLine="420"/>
        <w:jc w:val="left"/>
        <w:spacing w:line="360" w:lineRule="auto"/>
        <w:widowControl/>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宋体" w:eastAsia="宋体" w:cs="Times New Roman"/>
          <w:color w:val="auto"/>
          <w:szCs w:val="21"/>
          <w:highlight w:val="none"/>
        </w:rPr>
        <w:t xml:space="preserve">、组织、协调本项目招标全过程。</w:t>
      </w:r>
      <w:r/>
    </w:p>
    <w:p>
      <w:pPr>
        <w:ind w:firstLine="420"/>
        <w:jc w:val="left"/>
        <w:spacing w:line="360" w:lineRule="auto"/>
        <w:widowControl/>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宋体" w:eastAsia="宋体" w:cs="Times New Roman"/>
          <w:color w:val="auto"/>
          <w:szCs w:val="21"/>
          <w:highlight w:val="none"/>
        </w:rPr>
        <w:t xml:space="preserve">、有权对项目施工过程进行监管，有权委托第三方对项目进行验收和检测，并对产品质量进行跟踪及调查。</w:t>
      </w:r>
      <w:r/>
    </w:p>
    <w:p>
      <w:pPr>
        <w:ind w:firstLine="420"/>
        <w:jc w:val="left"/>
        <w:spacing w:line="360" w:lineRule="auto"/>
        <w:widowControl/>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3</w:t>
      </w:r>
      <w:r>
        <w:rPr>
          <w:rFonts w:hint="eastAsia" w:ascii="Arial" w:hAnsi="宋体" w:eastAsia="宋体" w:cs="Times New Roman"/>
          <w:color w:val="auto"/>
          <w:szCs w:val="21"/>
          <w:highlight w:val="none"/>
        </w:rPr>
        <w:t xml:space="preserve">、负责对双方履约行为进行监管。</w:t>
      </w:r>
      <w:r/>
    </w:p>
    <w:p>
      <w:pPr>
        <w:ind w:firstLine="422"/>
        <w:jc w:val="left"/>
        <w:spacing w:line="360" w:lineRule="auto"/>
        <w:widowControl/>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十九、违约责任：</w:t>
      </w:r>
      <w:r/>
    </w:p>
    <w:p>
      <w:pPr>
        <w:ind w:firstLine="420"/>
        <w:jc w:val="left"/>
        <w:spacing w:line="360" w:lineRule="auto"/>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乙方有下列违约情况之一，并在收到甲方发出的</w:t>
      </w:r>
      <w:r>
        <w:rPr>
          <w:rFonts w:hint="default" w:ascii="Arial" w:hAnsi="Arial" w:eastAsia="宋体" w:cs="Times New Roman"/>
          <w:color w:val="auto"/>
          <w:szCs w:val="21"/>
          <w:highlight w:val="none"/>
        </w:rPr>
        <w:t xml:space="preserve">“</w:t>
      </w:r>
      <w:r>
        <w:rPr>
          <w:rFonts w:hint="eastAsia" w:ascii="Arial" w:hAnsi="宋体" w:eastAsia="宋体" w:cs="Times New Roman"/>
          <w:color w:val="auto"/>
          <w:szCs w:val="21"/>
          <w:highlight w:val="none"/>
        </w:rPr>
        <w:t xml:space="preserve">乙方违约通知书</w:t>
      </w:r>
      <w:r>
        <w:rPr>
          <w:rFonts w:hint="default" w:ascii="Arial" w:hAnsi="Arial" w:eastAsia="宋体" w:cs="Times New Roman"/>
          <w:color w:val="auto"/>
          <w:szCs w:val="21"/>
          <w:highlight w:val="none"/>
        </w:rPr>
        <w:t xml:space="preserve">”</w:t>
      </w:r>
      <w:r>
        <w:rPr>
          <w:rFonts w:hint="eastAsia" w:ascii="Arial" w:hAnsi="宋体" w:eastAsia="宋体" w:cs="Times New Roman"/>
          <w:color w:val="auto"/>
          <w:szCs w:val="21"/>
          <w:highlight w:val="none"/>
        </w:rPr>
        <w:t xml:space="preserve">的当日或经甲方书面认可延长的时间内未能纠正过失，甲方有权单方终止部分或全部合同，在这种情况下，并不影响甲方向乙方提出索赔。</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宋体" w:eastAsia="宋体" w:cs="Times New Roman"/>
          <w:color w:val="auto"/>
          <w:szCs w:val="21"/>
          <w:highlight w:val="none"/>
        </w:rPr>
        <w:t xml:space="preserve">、除人力不可抗拒因素外，乙方不能按期交货，或因运输及安装中货物缺损需要更换而影响实际交付使用时，乙方需按合同总金额的5%向采购方支付违约金，若延迟导致采购方损失超过违约金的，乙方应赔偿实际损失。</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宋体" w:eastAsia="宋体" w:cs="Times New Roman"/>
          <w:color w:val="auto"/>
          <w:szCs w:val="21"/>
          <w:highlight w:val="none"/>
        </w:rPr>
        <w:t xml:space="preserve">、延期交货时间超过</w:t>
      </w:r>
      <w:r>
        <w:rPr>
          <w:rFonts w:hint="default" w:ascii="Arial" w:hAnsi="Arial" w:eastAsia="宋体" w:cs="Times New Roman"/>
          <w:color w:val="auto"/>
          <w:szCs w:val="21"/>
          <w:highlight w:val="none"/>
        </w:rPr>
        <w:t xml:space="preserve">10</w:t>
      </w:r>
      <w:r>
        <w:rPr>
          <w:rFonts w:hint="eastAsia" w:ascii="Arial" w:hAnsi="宋体" w:eastAsia="宋体" w:cs="Times New Roman"/>
          <w:color w:val="auto"/>
          <w:szCs w:val="21"/>
          <w:highlight w:val="none"/>
        </w:rPr>
        <w:t xml:space="preserve">天或交货不合格从而影响甲方按期正常使用的视为乙方严重违约，甲方有权立即终止合同，乙方仍需向甲方支付合同总金额的5%违约金，并赔偿甲方相关损失，双倍返还定金及甲方已支付的合同款。</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3</w:t>
      </w:r>
      <w:r>
        <w:rPr>
          <w:rFonts w:hint="eastAsia" w:ascii="Arial" w:hAnsi="宋体" w:eastAsia="宋体" w:cs="Times New Roman"/>
          <w:color w:val="auto"/>
          <w:szCs w:val="21"/>
          <w:highlight w:val="none"/>
        </w:rPr>
        <w:t xml:space="preserve">、乙方因违反合同及招标文件其他应尽义务的，甲方有权根据乙方违约程度要求乙方支付合同总</w:t>
      </w:r>
      <w:r>
        <w:rPr>
          <w:rFonts w:hint="eastAsia" w:ascii="Arial" w:hAnsi="宋体" w:cs="Times New Roman"/>
          <w:color w:val="auto"/>
          <w:szCs w:val="21"/>
          <w:highlight w:val="none"/>
          <w:lang w:val="en-US" w:eastAsia="zh-CN"/>
        </w:rPr>
        <w:t xml:space="preserve">金额的</w:t>
      </w:r>
      <w:r>
        <w:rPr>
          <w:rFonts w:hint="default" w:ascii="Arial" w:hAnsi="Arial" w:eastAsia="宋体" w:cs="Times New Roman"/>
          <w:color w:val="auto"/>
          <w:szCs w:val="21"/>
          <w:highlight w:val="none"/>
        </w:rPr>
        <w:t xml:space="preserve">5%</w:t>
      </w:r>
      <w:r>
        <w:rPr>
          <w:rFonts w:hint="eastAsia" w:ascii="Arial" w:hAnsi="宋体" w:eastAsia="宋体" w:cs="Times New Roman"/>
          <w:color w:val="auto"/>
          <w:szCs w:val="21"/>
          <w:highlight w:val="none"/>
        </w:rPr>
        <w:t xml:space="preserve">违约金。如违约金不足弥补甲方损失的，由乙方另行支付，由此引起的后果，甲方保留进一步追索的权利。</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4</w:t>
      </w:r>
      <w:r>
        <w:rPr>
          <w:rFonts w:hint="eastAsia" w:ascii="Arial" w:hAnsi="宋体" w:eastAsia="宋体" w:cs="Times New Roman"/>
          <w:color w:val="auto"/>
          <w:szCs w:val="21"/>
          <w:highlight w:val="none"/>
        </w:rPr>
        <w:t xml:space="preserve">、乙方应在合同约定时间前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二十、索赔：</w:t>
      </w:r>
      <w:r/>
    </w:p>
    <w:p>
      <w:pPr>
        <w:ind w:firstLine="420"/>
        <w:jc w:val="left"/>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20"/>
        <w:jc w:val="left"/>
        <w:spacing w:line="360" w:lineRule="auto"/>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索赔方式除上述规定之外，甲方还有权选择以下方式进行索赔：</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宋体" w:eastAsia="宋体" w:cs="Times New Roman"/>
          <w:color w:val="auto"/>
          <w:szCs w:val="21"/>
          <w:highlight w:val="none"/>
        </w:rPr>
        <w:t xml:space="preserve">、乙方同意退货，并双倍返还定金及甲方已支付的合同款，并承担由此发生的一切损失和费用，包括甲方直接损失、利息、银行手续费、运费、保险费、仓储费、装卸费以及为保护退回货物所需的其它必要费用。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宋体" w:eastAsia="宋体" w:cs="Times New Roman"/>
          <w:color w:val="auto"/>
          <w:szCs w:val="21"/>
          <w:highlight w:val="none"/>
        </w:rPr>
        <w:t xml:space="preserve">、根据货物的损坏程度以及甲方遭受损失的数额，经甲乙双方商定降低货物的价格。</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3</w:t>
      </w:r>
      <w:r>
        <w:rPr>
          <w:rFonts w:hint="eastAsia" w:ascii="Arial" w:hAnsi="宋体" w:eastAsia="宋体" w:cs="Times New Roman"/>
          <w:color w:val="auto"/>
          <w:szCs w:val="21"/>
          <w:highlight w:val="none"/>
        </w:rPr>
        <w:t xml:space="preserve">、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4</w:t>
      </w:r>
      <w:r>
        <w:rPr>
          <w:rFonts w:hint="eastAsia" w:ascii="Arial" w:hAnsi="宋体" w:eastAsia="宋体" w:cs="Times New Roman"/>
          <w:color w:val="auto"/>
          <w:szCs w:val="21"/>
          <w:highlight w:val="none"/>
        </w:rPr>
        <w:t xml:space="preserve">、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2"/>
        <w:jc w:val="left"/>
        <w:spacing w:line="360" w:lineRule="auto"/>
        <w:rPr>
          <w:rFonts w:hint="default" w:ascii="Times New Roman" w:hAnsi="Times New Roman" w:eastAsia="宋体" w:cs="Times New Roman"/>
          <w:color w:val="auto"/>
          <w:highlight w:val="none"/>
        </w:rPr>
      </w:pPr>
      <w:r>
        <w:rPr>
          <w:rFonts w:hint="eastAsia" w:ascii="Arial" w:hAnsi="宋体" w:eastAsia="宋体" w:cs="Times New Roman"/>
          <w:b/>
          <w:color w:val="auto"/>
          <w:szCs w:val="21"/>
          <w:highlight w:val="none"/>
        </w:rPr>
        <w:t xml:space="preserve">二十一、资料提供：</w:t>
      </w:r>
      <w:r>
        <w:rPr>
          <w:rFonts w:hint="eastAsia" w:ascii="Arial" w:hAnsi="宋体" w:eastAsia="宋体" w:cs="Times New Roman"/>
          <w:color w:val="auto"/>
          <w:szCs w:val="21"/>
          <w:highlight w:val="none"/>
        </w:rPr>
        <w:t xml:space="preserve">合同签订一周内乙方提供施工图</w:t>
      </w:r>
      <w:r>
        <w:rPr>
          <w:rFonts w:hint="default" w:ascii="Arial" w:hAnsi="宋体" w:eastAsia="宋体" w:cs="Times New Roman"/>
          <w:color w:val="auto"/>
          <w:szCs w:val="21"/>
          <w:highlight w:val="none"/>
          <w:u w:val="single"/>
        </w:rPr>
        <w:t xml:space="preserve">      /      </w:t>
      </w:r>
      <w:r>
        <w:rPr>
          <w:rFonts w:hint="eastAsia" w:ascii="Arial" w:hAnsi="宋体" w:eastAsia="宋体" w:cs="Times New Roman"/>
          <w:color w:val="auto"/>
          <w:szCs w:val="21"/>
          <w:highlight w:val="none"/>
        </w:rPr>
        <w:t xml:space="preserve">套。</w:t>
      </w:r>
      <w:r/>
    </w:p>
    <w:p>
      <w:pPr>
        <w:ind w:firstLine="422"/>
        <w:jc w:val="left"/>
        <w:spacing w:line="360" w:lineRule="auto"/>
        <w:rPr>
          <w:rFonts w:hint="default" w:ascii="Times New Roman" w:hAnsi="Times New Roman" w:eastAsia="宋体" w:cs="Times New Roman"/>
          <w:color w:val="auto"/>
          <w:highlight w:val="none"/>
        </w:rPr>
      </w:pPr>
      <w:r>
        <w:rPr>
          <w:rFonts w:hint="eastAsia" w:ascii="Arial" w:hAnsi="宋体" w:eastAsia="宋体" w:cs="Times New Roman"/>
          <w:b/>
          <w:color w:val="auto"/>
          <w:szCs w:val="21"/>
          <w:highlight w:val="none"/>
        </w:rPr>
        <w:t xml:space="preserve">二十二、技术培训：</w:t>
      </w:r>
      <w:r>
        <w:rPr>
          <w:rFonts w:hint="eastAsia" w:ascii="Arial" w:hAnsi="宋体" w:eastAsia="宋体" w:cs="Times New Roman"/>
          <w:color w:val="auto"/>
          <w:szCs w:val="21"/>
          <w:highlight w:val="none"/>
        </w:rPr>
        <w:t xml:space="preserve">甲方认为可以培训的前一周推荐培训计划、提供资料、培训后能熟练操作、了解构造原理、日常维护、排除一般故障。</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二十三、特别条款：</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宋体" w:eastAsia="宋体" w:cs="Times New Roman"/>
          <w:color w:val="auto"/>
          <w:szCs w:val="21"/>
          <w:highlight w:val="none"/>
        </w:rPr>
        <w:t xml:space="preserve">、双方签约人为各自法定代表人或被授权代表。</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宋体" w:eastAsia="宋体" w:cs="Times New Roman"/>
          <w:color w:val="auto"/>
          <w:szCs w:val="21"/>
          <w:highlight w:val="none"/>
        </w:rPr>
        <w:t xml:space="preserve">、本合同系指本文件及其附件中的所有部分；其中谈判文件、中标的响应文件、成交单位在谈判过程中的澄清、承诺等为本合同不可缺少的必要组成部分。</w:t>
      </w:r>
      <w:r/>
    </w:p>
    <w:p>
      <w:pPr>
        <w:ind w:firstLine="420"/>
        <w:jc w:val="left"/>
        <w:spacing w:line="360" w:lineRule="auto"/>
        <w:rPr>
          <w:rFonts w:hint="default" w:ascii="Times New Roman" w:hAnsi="Times New Roman" w:eastAsia="宋体" w:cs="Times New Roman"/>
          <w:color w:val="auto"/>
          <w:highlight w:val="none"/>
        </w:rPr>
      </w:pPr>
      <w:r>
        <w:rPr>
          <w:rFonts w:hint="default" w:ascii="Arial" w:hAnsi="Arial" w:eastAsia="宋体" w:cs="Times New Roman"/>
          <w:color w:val="auto"/>
          <w:szCs w:val="21"/>
          <w:highlight w:val="none"/>
        </w:rPr>
        <w:t xml:space="preserve">3</w:t>
      </w:r>
      <w:r>
        <w:rPr>
          <w:rFonts w:hint="eastAsia" w:ascii="Arial" w:hAnsi="宋体" w:eastAsia="宋体" w:cs="Times New Roman"/>
          <w:color w:val="auto"/>
          <w:szCs w:val="21"/>
          <w:highlight w:val="none"/>
        </w:rPr>
        <w:t xml:space="preserve">、本合同一式陆份，甲方叁份，乙方贰份，招标代理机构壹份，各份具有同等法律效力</w:t>
      </w:r>
      <w:r>
        <w:rPr>
          <w:rFonts w:hint="eastAsia" w:ascii="Arial" w:hAnsi="Arial" w:eastAsia="宋体" w:cs="Times New Roman"/>
          <w:color w:val="auto"/>
          <w:szCs w:val="21"/>
          <w:highlight w:val="none"/>
        </w:rPr>
        <w:t xml:space="preserve">。</w:t>
      </w:r>
      <w:r/>
    </w:p>
    <w:p>
      <w:pPr>
        <w:ind w:firstLine="422"/>
        <w:jc w:val="left"/>
        <w:spacing w:line="360" w:lineRule="auto"/>
        <w:rPr>
          <w:rFonts w:hint="default" w:ascii="Arial" w:hAnsi="Arial" w:eastAsia="宋体" w:cs="Times New Roman"/>
          <w:b/>
          <w:color w:val="auto"/>
          <w:szCs w:val="21"/>
          <w:highlight w:val="none"/>
        </w:rPr>
      </w:pPr>
      <w:r>
        <w:rPr>
          <w:rFonts w:hint="eastAsia" w:ascii="Arial" w:hAnsi="宋体" w:eastAsia="宋体" w:cs="Times New Roman"/>
          <w:b/>
          <w:color w:val="auto"/>
          <w:szCs w:val="21"/>
          <w:highlight w:val="none"/>
        </w:rPr>
        <w:t xml:space="preserve">二十四、其它：</w:t>
      </w:r>
      <w:r/>
    </w:p>
    <w:p>
      <w:pPr>
        <w:ind w:firstLine="420"/>
        <w:jc w:val="left"/>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t xml:space="preserve">1</w:t>
      </w:r>
      <w:r>
        <w:rPr>
          <w:rFonts w:hint="eastAsia" w:ascii="Arial" w:hAnsi="Arial" w:eastAsia="宋体" w:cs="Times New Roman"/>
          <w:color w:val="auto"/>
          <w:szCs w:val="21"/>
          <w:highlight w:val="none"/>
        </w:rPr>
        <w:t xml:space="preserve">、</w:t>
      </w:r>
      <w:r>
        <w:rPr>
          <w:rFonts w:hint="default" w:ascii="Arial" w:hAnsi="Arial" w:eastAsia="宋体" w:cs="Times New Roman"/>
          <w:color w:val="auto"/>
          <w:szCs w:val="21"/>
          <w:highlight w:val="none"/>
        </w:rPr>
        <w:t xml:space="preserve"> </w:t>
      </w:r>
      <w:r>
        <w:rPr>
          <w:rFonts w:hint="eastAsia" w:ascii="Arial" w:hAnsi="宋体" w:eastAsia="宋体" w:cs="Times New Roman"/>
          <w:color w:val="auto"/>
          <w:szCs w:val="21"/>
          <w:highlight w:val="none"/>
        </w:rPr>
        <w:t xml:space="preserve">甲乙双方签字盖章后生效，合同签订后应在规定时间内报政府采购部门备案。</w:t>
      </w:r>
      <w:r/>
    </w:p>
    <w:p>
      <w:pPr>
        <w:ind w:firstLine="420"/>
        <w:jc w:val="left"/>
        <w:spacing w:line="360" w:lineRule="auto"/>
        <w:rPr>
          <w:rFonts w:hint="default" w:ascii="Arial" w:hAnsi="宋体" w:eastAsia="宋体" w:cs="Times New Roman"/>
          <w:color w:val="auto"/>
          <w:szCs w:val="21"/>
          <w:highlight w:val="none"/>
        </w:rPr>
      </w:pPr>
      <w:r>
        <w:rPr>
          <w:rFonts w:hint="default" w:ascii="Arial" w:hAnsi="Arial" w:eastAsia="宋体" w:cs="Times New Roman"/>
          <w:color w:val="auto"/>
          <w:szCs w:val="21"/>
          <w:highlight w:val="none"/>
        </w:rPr>
        <w:t xml:space="preserve">2</w:t>
      </w:r>
      <w:r>
        <w:rPr>
          <w:rFonts w:hint="eastAsia" w:ascii="Arial" w:hAnsi="Arial" w:eastAsia="宋体" w:cs="Times New Roman"/>
          <w:color w:val="auto"/>
          <w:szCs w:val="21"/>
          <w:highlight w:val="none"/>
        </w:rPr>
        <w:t xml:space="preserve">、</w:t>
      </w:r>
      <w:r>
        <w:rPr>
          <w:rFonts w:hint="eastAsia" w:ascii="Arial" w:hAnsi="宋体" w:eastAsia="宋体" w:cs="Times New Roman"/>
          <w:color w:val="auto"/>
          <w:szCs w:val="21"/>
          <w:highlight w:val="none"/>
        </w:rPr>
        <w:t xml:space="preserve">本合同未尽事宜，签约双方应友好协商解决。协商不成，任何一方均可向甲方所在人民法院提起诉讼。</w:t>
      </w:r>
      <w:r/>
    </w:p>
    <w:p>
      <w:pPr>
        <w:ind w:firstLine="420"/>
        <w:jc w:val="left"/>
        <w:spacing w:line="360" w:lineRule="auto"/>
        <w:rPr>
          <w:rFonts w:hint="default" w:ascii="Arial" w:hAnsi="Arial" w:eastAsia="宋体" w:cs="Times New Roman"/>
          <w:color w:val="auto"/>
          <w:szCs w:val="21"/>
          <w:highlight w:val="none"/>
        </w:rPr>
      </w:pPr>
      <w:r>
        <w:rPr>
          <w:rFonts w:hint="default" w:ascii="Arial" w:hAnsi="宋体" w:eastAsia="宋体" w:cs="Times New Roman"/>
          <w:color w:val="auto"/>
          <w:szCs w:val="21"/>
          <w:highlight w:val="none"/>
        </w:rPr>
        <w:t xml:space="preserve">3</w:t>
      </w:r>
      <w:r>
        <w:rPr>
          <w:rFonts w:hint="eastAsia" w:ascii="Arial" w:hAnsi="宋体" w:eastAsia="宋体" w:cs="Times New Roman"/>
          <w:color w:val="auto"/>
          <w:szCs w:val="21"/>
          <w:highlight w:val="none"/>
        </w:rPr>
        <w:t xml:space="preserve">、依据《管理办法》规定享受扶持政策获得政府采购合同的，小微企业不得将合同分包给大中型企业，中型企业不得将合同分包给大型企业。</w:t>
      </w:r>
      <w:r/>
    </w:p>
    <w:p>
      <w:pPr>
        <w:ind w:firstLine="200"/>
        <w:spacing w:line="360" w:lineRule="auto"/>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pStyle w:val="1147"/>
        <w:rPr>
          <w:color w:val="auto"/>
          <w:highlight w:val="none"/>
        </w:rPr>
      </w:pPr>
      <w:r>
        <w:rPr>
          <w:color w:val="auto"/>
          <w:highlight w:val="none"/>
        </w:rPr>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甲方（采购组织方）：</w:t>
      </w:r>
      <w:r>
        <w:rPr>
          <w:rFonts w:hint="default" w:ascii="Arial" w:hAnsi="Arial" w:eastAsia="宋体" w:cs="Times New Roman"/>
          <w:color w:val="auto"/>
          <w:szCs w:val="21"/>
          <w:highlight w:val="none"/>
        </w:rPr>
        <w:t xml:space="preserve">                            </w:t>
      </w:r>
      <w:r>
        <w:rPr>
          <w:rFonts w:hint="eastAsia" w:ascii="Arial" w:hAnsi="宋体" w:eastAsia="宋体" w:cs="Times New Roman"/>
          <w:color w:val="auto"/>
          <w:szCs w:val="21"/>
          <w:highlight w:val="none"/>
        </w:rPr>
        <w:t xml:space="preserve">甲方（使用方）：</w:t>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法定代表人（授权代表）：</w:t>
      </w:r>
      <w:r>
        <w:rPr>
          <w:rFonts w:hint="default" w:ascii="Arial" w:hAnsi="Arial" w:eastAsia="宋体" w:cs="Times New Roman"/>
          <w:color w:val="auto"/>
          <w:szCs w:val="21"/>
          <w:highlight w:val="none"/>
        </w:rPr>
        <w:t xml:space="preserve">                        </w:t>
      </w:r>
      <w:r>
        <w:rPr>
          <w:rFonts w:hint="eastAsia" w:ascii="Arial" w:hAnsi="宋体" w:eastAsia="宋体" w:cs="Times New Roman"/>
          <w:color w:val="auto"/>
          <w:szCs w:val="21"/>
          <w:highlight w:val="none"/>
        </w:rPr>
        <w:t xml:space="preserve">法定代表人（授权代表）：</w:t>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签约日期：</w:t>
      </w:r>
      <w:r>
        <w:rPr>
          <w:rFonts w:hint="default" w:ascii="Arial" w:hAnsi="Arial" w:eastAsia="宋体" w:cs="Times New Roman"/>
          <w:color w:val="auto"/>
          <w:szCs w:val="21"/>
          <w:highlight w:val="none"/>
        </w:rPr>
        <w:t xml:space="preserve">                                      </w:t>
      </w:r>
      <w:r>
        <w:rPr>
          <w:rFonts w:hint="eastAsia" w:ascii="Arial" w:hAnsi="宋体" w:eastAsia="宋体" w:cs="Times New Roman"/>
          <w:color w:val="auto"/>
          <w:szCs w:val="21"/>
          <w:highlight w:val="none"/>
        </w:rPr>
        <w:t xml:space="preserve">签约日期：</w:t>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开户行：</w:t>
      </w:r>
      <w:r>
        <w:rPr>
          <w:rFonts w:hint="default" w:ascii="Arial" w:hAnsi="宋体" w:eastAsia="宋体" w:cs="Times New Roman"/>
          <w:color w:val="auto"/>
          <w:szCs w:val="21"/>
          <w:highlight w:val="none"/>
        </w:rPr>
        <w:t xml:space="preserve">                                        </w:t>
      </w:r>
      <w:r>
        <w:rPr>
          <w:rFonts w:hint="eastAsia" w:ascii="Arial" w:hAnsi="宋体" w:eastAsia="宋体" w:cs="Times New Roman"/>
          <w:color w:val="auto"/>
          <w:szCs w:val="21"/>
          <w:highlight w:val="none"/>
        </w:rPr>
        <w:t xml:space="preserve">开户行：</w:t>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帐户：</w:t>
      </w:r>
      <w:r>
        <w:rPr>
          <w:rFonts w:hint="default" w:ascii="Arial" w:hAnsi="宋体" w:eastAsia="宋体" w:cs="Times New Roman"/>
          <w:color w:val="auto"/>
          <w:szCs w:val="21"/>
          <w:highlight w:val="none"/>
        </w:rPr>
        <w:t xml:space="preserve">                                          </w:t>
      </w:r>
      <w:r>
        <w:rPr>
          <w:rFonts w:hint="eastAsia" w:ascii="Arial" w:hAnsi="宋体" w:eastAsia="宋体" w:cs="Times New Roman"/>
          <w:color w:val="auto"/>
          <w:szCs w:val="21"/>
          <w:highlight w:val="none"/>
        </w:rPr>
        <w:t xml:space="preserve">帐户：</w:t>
      </w:r>
      <w:r/>
    </w:p>
    <w:p>
      <w:pPr>
        <w:jc w:val="left"/>
        <w:spacing w:line="400" w:lineRule="exact"/>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pStyle w:val="1147"/>
        <w:rPr>
          <w:color w:val="auto"/>
          <w:highlight w:val="none"/>
        </w:rPr>
      </w:pPr>
      <w:r>
        <w:rPr>
          <w:color w:val="auto"/>
          <w:highlight w:val="none"/>
        </w:rPr>
      </w:r>
      <w:r/>
    </w:p>
    <w:p>
      <w:pPr>
        <w:pStyle w:val="1147"/>
        <w:ind w:left="0" w:firstLine="0"/>
        <w:rPr>
          <w:color w:val="auto"/>
          <w:highlight w:val="none"/>
        </w:rPr>
      </w:pPr>
      <w:r>
        <w:rPr>
          <w:color w:val="auto"/>
          <w:highlight w:val="none"/>
        </w:rPr>
      </w:r>
      <w:r/>
    </w:p>
    <w:p>
      <w:pPr>
        <w:jc w:val="left"/>
        <w:spacing w:line="400" w:lineRule="exact"/>
        <w:rPr>
          <w:rFonts w:hint="default" w:ascii="Arial" w:hAnsi="Arial" w:eastAsia="宋体" w:cs="Times New Roman"/>
          <w:color w:val="auto"/>
          <w:szCs w:val="21"/>
          <w:highlight w:val="none"/>
        </w:rPr>
      </w:pPr>
      <w:r>
        <w:rPr>
          <w:rFonts w:hint="default" w:ascii="Arial" w:hAnsi="Arial" w:eastAsia="宋体" w:cs="Times New Roman"/>
          <w:color w:val="auto"/>
          <w:szCs w:val="21"/>
          <w:highlight w:val="none"/>
        </w:rPr>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乙方：</w:t>
      </w:r>
      <w:r>
        <w:rPr>
          <w:rFonts w:hint="default" w:ascii="Arial" w:hAnsi="宋体" w:eastAsia="宋体" w:cs="Times New Roman"/>
          <w:color w:val="auto"/>
          <w:szCs w:val="21"/>
          <w:highlight w:val="none"/>
        </w:rPr>
        <w:t xml:space="preserve">                                              </w:t>
      </w:r>
      <w:r/>
    </w:p>
    <w:p>
      <w:pPr>
        <w:jc w:val="left"/>
        <w:spacing w:line="400" w:lineRule="exact"/>
        <w:rPr>
          <w:rFonts w:hint="default" w:ascii="Arial" w:hAnsi="Arial" w:eastAsia="宋体" w:cs="Times New Roman"/>
          <w:color w:val="auto"/>
          <w:szCs w:val="21"/>
          <w:highlight w:val="none"/>
        </w:rPr>
      </w:pPr>
      <w:r>
        <w:rPr>
          <w:rFonts w:hint="eastAsia" w:ascii="Arial" w:hAnsi="宋体" w:eastAsia="宋体" w:cs="Times New Roman"/>
          <w:color w:val="auto"/>
          <w:szCs w:val="21"/>
          <w:highlight w:val="none"/>
        </w:rPr>
        <w:t xml:space="preserve">法定代表人（授权代表）：</w:t>
      </w:r>
      <w:r>
        <w:rPr>
          <w:rFonts w:hint="default" w:ascii="Arial" w:hAnsi="宋体" w:eastAsia="宋体" w:cs="Times New Roman"/>
          <w:color w:val="auto"/>
          <w:szCs w:val="21"/>
          <w:highlight w:val="none"/>
        </w:rPr>
        <w:t xml:space="preserve">                                     </w:t>
      </w:r>
      <w:r/>
    </w:p>
    <w:p>
      <w:pPr>
        <w:jc w:val="left"/>
        <w:spacing w:line="400" w:lineRule="exact"/>
        <w:rPr>
          <w:rFonts w:hint="default" w:ascii="Arial" w:hAnsi="宋体" w:eastAsia="宋体" w:cs="Times New Roman"/>
          <w:color w:val="auto"/>
          <w:szCs w:val="21"/>
          <w:highlight w:val="none"/>
        </w:rPr>
      </w:pPr>
      <w:r>
        <w:rPr>
          <w:rFonts w:hint="eastAsia" w:ascii="Arial" w:hAnsi="宋体" w:eastAsia="宋体" w:cs="Times New Roman"/>
          <w:color w:val="auto"/>
          <w:szCs w:val="21"/>
          <w:highlight w:val="none"/>
        </w:rPr>
        <w:t xml:space="preserve">签约日期：</w:t>
      </w:r>
      <w:r>
        <w:rPr>
          <w:rFonts w:hint="default" w:ascii="Arial" w:hAnsi="宋体" w:eastAsia="宋体" w:cs="Times New Roman"/>
          <w:color w:val="auto"/>
          <w:szCs w:val="21"/>
          <w:highlight w:val="none"/>
        </w:rPr>
        <w:t xml:space="preserve">                                                     </w:t>
      </w:r>
      <w:r/>
    </w:p>
    <w:p>
      <w:pPr>
        <w:jc w:val="left"/>
        <w:spacing w:line="400" w:lineRule="exact"/>
        <w:rPr>
          <w:rFonts w:hint="default" w:ascii="Arial" w:hAnsi="宋体" w:eastAsia="宋体" w:cs="Times New Roman"/>
          <w:color w:val="auto"/>
          <w:szCs w:val="21"/>
          <w:highlight w:val="none"/>
        </w:rPr>
      </w:pPr>
      <w:r>
        <w:rPr>
          <w:rFonts w:hint="eastAsia" w:ascii="Arial" w:hAnsi="宋体" w:eastAsia="宋体" w:cs="Times New Roman"/>
          <w:color w:val="auto"/>
          <w:szCs w:val="21"/>
          <w:highlight w:val="none"/>
        </w:rPr>
        <w:t xml:space="preserve">开户行：</w:t>
      </w:r>
      <w:r/>
    </w:p>
    <w:p>
      <w:pPr>
        <w:rPr>
          <w:rFonts w:hint="default" w:ascii="Arial" w:hAnsi="宋体" w:eastAsia="宋体" w:cs="Times New Roman"/>
          <w:color w:val="auto"/>
          <w:szCs w:val="21"/>
          <w:highlight w:val="none"/>
        </w:rPr>
      </w:pPr>
      <w:r>
        <w:rPr>
          <w:rFonts w:hint="eastAsia" w:ascii="Arial" w:hAnsi="宋体" w:eastAsia="宋体" w:cs="Times New Roman"/>
          <w:color w:val="auto"/>
          <w:szCs w:val="21"/>
          <w:highlight w:val="none"/>
        </w:rPr>
        <w:t xml:space="preserve">帐户：</w:t>
      </w:r>
      <w:r/>
    </w:p>
    <w:p>
      <w:pPr>
        <w:rPr>
          <w:rStyle w:val="1050"/>
          <w:color w:val="auto"/>
          <w:sz w:val="32"/>
          <w:szCs w:val="32"/>
          <w:highlight w:val="none"/>
        </w:rPr>
      </w:pPr>
      <w:r>
        <w:rPr>
          <w:color w:val="auto"/>
          <w:sz w:val="32"/>
          <w:szCs w:val="32"/>
          <w:highlight w:val="none"/>
        </w:rPr>
      </w:r>
      <w:r/>
    </w:p>
    <w:p>
      <w:pPr>
        <w:rPr>
          <w:rStyle w:val="1050"/>
          <w:rFonts w:hint="eastAsia" w:ascii="Times New Roman" w:hAnsi="Times New Roman"/>
          <w:b/>
          <w:bCs/>
          <w:color w:val="auto"/>
          <w:sz w:val="32"/>
          <w:szCs w:val="32"/>
          <w:highlight w:val="none"/>
        </w:rPr>
      </w:pPr>
      <w:r>
        <w:rPr>
          <w:rStyle w:val="1050"/>
          <w:rFonts w:hint="eastAsia" w:ascii="Times New Roman" w:hAnsi="Times New Roman"/>
          <w:b/>
          <w:bCs/>
          <w:color w:val="auto"/>
          <w:sz w:val="32"/>
          <w:szCs w:val="32"/>
          <w:highlight w:val="none"/>
        </w:rPr>
        <w:br w:type="page" w:clear="all"/>
      </w:r>
      <w:r/>
    </w:p>
    <w:p>
      <w:pPr>
        <w:pStyle w:val="731"/>
        <w:jc w:val="center"/>
        <w:spacing w:line="240" w:lineRule="auto"/>
        <w:tabs>
          <w:tab w:val="left" w:pos="2754" w:leader="none"/>
          <w:tab w:val="center" w:pos="4215" w:leader="none"/>
        </w:tabs>
        <w:rPr>
          <w:rStyle w:val="1050"/>
          <w:rFonts w:ascii="Times New Roman" w:hAnsi="Times New Roman"/>
          <w:b/>
          <w:bCs/>
          <w:color w:val="auto"/>
          <w:sz w:val="32"/>
          <w:szCs w:val="32"/>
          <w:highlight w:val="none"/>
        </w:rPr>
      </w:pPr>
      <w:r>
        <w:rPr>
          <w:rStyle w:val="1050"/>
          <w:rFonts w:hint="eastAsia" w:ascii="Times New Roman" w:hAnsi="Times New Roman"/>
          <w:b/>
          <w:bCs/>
          <w:color w:val="auto"/>
          <w:sz w:val="32"/>
          <w:szCs w:val="32"/>
          <w:highlight w:val="none"/>
        </w:rPr>
        <w:t xml:space="preserve">第六章 评审方法</w:t>
      </w:r>
      <w:bookmarkEnd w:id="15"/>
      <w:r/>
      <w:r/>
    </w:p>
    <w:p>
      <w:pPr>
        <w:spacing w:line="360" w:lineRule="auto"/>
        <w:rPr>
          <w:rFonts w:ascii="宋体" w:hAnsi="宋体"/>
          <w:b/>
          <w:bCs/>
          <w:color w:val="auto"/>
          <w:szCs w:val="21"/>
          <w:highlight w:val="none"/>
        </w:rPr>
      </w:pPr>
      <w:r>
        <w:rPr>
          <w:rFonts w:hint="eastAsia"/>
          <w:b/>
          <w:bCs/>
          <w:color w:val="auto"/>
          <w:szCs w:val="21"/>
          <w:highlight w:val="none"/>
        </w:rPr>
        <w:t xml:space="preserve">一、评审办法</w:t>
      </w:r>
      <w:r/>
    </w:p>
    <w:p>
      <w:pPr>
        <w:ind w:firstLine="420"/>
        <w:spacing w:line="360" w:lineRule="auto"/>
        <w:tabs>
          <w:tab w:val="left" w:pos="2870" w:leader="none"/>
        </w:tabs>
        <w:rPr>
          <w:rFonts w:ascii="宋体" w:hAnsi="宋体"/>
          <w:color w:val="auto"/>
          <w:highlight w:val="none"/>
        </w:rPr>
      </w:pPr>
      <w:r>
        <w:rPr>
          <w:rFonts w:hint="eastAsia" w:ascii="宋体" w:hAnsi="宋体" w:cs="宋体"/>
          <w:bCs/>
          <w:color w:val="auto"/>
          <w:szCs w:val="21"/>
          <w:highlight w:val="none"/>
        </w:rPr>
        <w:t xml:space="preserve">1.</w:t>
      </w:r>
      <w:r>
        <w:rPr>
          <w:rFonts w:ascii="宋体" w:hAnsi="宋体"/>
          <w:color w:val="auto"/>
          <w:szCs w:val="21"/>
          <w:highlight w:val="none"/>
        </w:rPr>
        <w:t xml:space="preserve">本次</w:t>
      </w:r>
      <w:r>
        <w:rPr>
          <w:rFonts w:hint="eastAsia" w:ascii="宋体" w:hAnsi="宋体"/>
          <w:color w:val="auto"/>
          <w:szCs w:val="21"/>
          <w:highlight w:val="none"/>
        </w:rPr>
        <w:t xml:space="preserve">采购评审采用最低评标价法，即在符合采购采购需求、质量和服务相等的前提下，以提出最低报价（以第二次报价为准</w:t>
      </w:r>
      <w:r>
        <w:rPr>
          <w:rFonts w:hint="eastAsia" w:ascii="宋体" w:hAnsi="宋体"/>
          <w:b/>
          <w:color w:val="auto"/>
          <w:szCs w:val="21"/>
          <w:highlight w:val="none"/>
        </w:rPr>
        <w:t xml:space="preserve">，且最后报价时间为10分钟</w:t>
      </w:r>
      <w:r>
        <w:rPr>
          <w:rFonts w:hint="eastAsia" w:ascii="宋体" w:hAnsi="宋体"/>
          <w:color w:val="auto"/>
          <w:szCs w:val="21"/>
          <w:highlight w:val="none"/>
        </w:rPr>
        <w:t xml:space="preserve">）的供应商作为成交供应商。</w:t>
      </w:r>
      <w:r/>
    </w:p>
    <w:p>
      <w:pPr>
        <w:ind w:firstLine="420"/>
        <w:spacing w:line="360" w:lineRule="auto"/>
        <w:rPr>
          <w:rFonts w:ascii="宋体" w:hAnsi="宋体" w:cs="宋体"/>
          <w:color w:val="auto"/>
          <w:szCs w:val="22"/>
          <w:highlight w:val="none"/>
        </w:rPr>
      </w:pPr>
      <w:r>
        <w:rPr>
          <w:rFonts w:hint="eastAsia" w:ascii="宋体" w:hAnsi="宋体"/>
          <w:color w:val="auto"/>
          <w:szCs w:val="21"/>
          <w:highlight w:val="none"/>
        </w:rPr>
        <w:t xml:space="preserve">2.</w:t>
      </w:r>
      <w:r>
        <w:rPr>
          <w:rFonts w:hint="eastAsia" w:ascii="宋体" w:hAnsi="宋体" w:cs="宋体"/>
          <w:color w:val="auto"/>
          <w:highlight w:val="none"/>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w:t>
      </w:r>
      <w:r>
        <w:rPr>
          <w:rFonts w:hint="eastAsia" w:ascii="宋体" w:hAnsi="宋体"/>
          <w:color w:val="auto"/>
          <w:highlight w:val="none"/>
        </w:rPr>
        <w:t xml:space="preserve">谈判小组认为供应商的报价明显低于其他通过符合性审查的供应商的报价，有可能影响产品质量或者不能诚信履约的，</w:t>
      </w:r>
      <w:r>
        <w:rPr>
          <w:rFonts w:hint="eastAsia" w:ascii="宋体" w:hAnsi="宋体"/>
          <w:color w:val="auto"/>
          <w:szCs w:val="21"/>
          <w:highlight w:val="none"/>
        </w:rPr>
        <w:t xml:space="preserve">则谈判小组有权要求</w:t>
      </w:r>
      <w:r>
        <w:rPr>
          <w:rFonts w:hint="eastAsia" w:ascii="宋体" w:hAnsi="宋体"/>
          <w:color w:val="auto"/>
          <w:highlight w:val="none"/>
        </w:rPr>
        <w:t xml:space="preserve">其以书面形式作出相关说明，供应商不能证明其报价合理性的，谈判小组应当认定其响应无效</w:t>
      </w:r>
      <w:r>
        <w:rPr>
          <w:rFonts w:hint="eastAsia" w:ascii="宋体" w:hAnsi="宋体"/>
          <w:color w:val="auto"/>
          <w:szCs w:val="21"/>
          <w:highlight w:val="none"/>
        </w:rPr>
        <w:t xml:space="preserve">取消该供应商的成交候选资格</w:t>
      </w:r>
      <w:r>
        <w:rPr>
          <w:rFonts w:hint="eastAsia" w:ascii="宋体" w:hAnsi="宋体"/>
          <w:color w:val="auto"/>
          <w:highlight w:val="none"/>
        </w:rPr>
        <w:t xml:space="preserve">。</w:t>
      </w:r>
      <w:r/>
    </w:p>
    <w:p>
      <w:pPr>
        <w:ind w:firstLine="420"/>
        <w:spacing w:line="360" w:lineRule="auto"/>
        <w:tabs>
          <w:tab w:val="left" w:pos="2870" w:leader="none"/>
        </w:tabs>
        <w:rPr>
          <w:rFonts w:ascii="宋体" w:hAnsi="宋体"/>
          <w:color w:val="auto"/>
          <w:szCs w:val="21"/>
          <w:highlight w:val="none"/>
        </w:rPr>
      </w:pPr>
      <w:r>
        <w:rPr>
          <w:rFonts w:hint="eastAsia" w:ascii="宋体" w:hAnsi="宋体"/>
          <w:color w:val="auto"/>
          <w:highlight w:val="none"/>
        </w:rPr>
        <w:t xml:space="preserve">5</w:t>
      </w:r>
      <w:r>
        <w:rPr>
          <w:rFonts w:ascii="宋体" w:hAnsi="宋体"/>
          <w:color w:val="auto"/>
          <w:highlight w:val="none"/>
        </w:rPr>
        <w:t xml:space="preserve">.</w:t>
      </w:r>
      <w:r>
        <w:rPr>
          <w:rFonts w:hint="eastAsia" w:ascii="宋体" w:hAnsi="宋体"/>
          <w:color w:val="auto"/>
          <w:szCs w:val="21"/>
          <w:highlight w:val="none"/>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hint="eastAsia" w:ascii="宋体" w:hAnsi="宋体" w:cs="仿宋_GB2312"/>
          <w:color w:val="auto"/>
          <w:szCs w:val="21"/>
          <w:highlight w:val="none"/>
        </w:rPr>
      </w:pPr>
      <w:r>
        <w:rPr>
          <w:rFonts w:hint="eastAsia" w:ascii="宋体" w:hAnsi="宋体" w:cs="仿宋_GB2312"/>
          <w:color w:val="auto"/>
          <w:szCs w:val="21"/>
          <w:highlight w:val="none"/>
        </w:rPr>
        <w:t xml:space="preserve">本项目核心产品详见招标书要求，核心产品提供相同品牌产品且通过资格审查、符合性审查的不同投标人参加同一合同项下投标的，按一家投标人计算。</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eastAsia="宋体" w:cs="仿宋_GB2312"/>
          <w:b w:val="0"/>
          <w:bCs w:val="0"/>
          <w:color w:val="auto"/>
          <w:szCs w:val="21"/>
          <w:highlight w:val="none"/>
          <w:lang w:val="en-US" w:eastAsia="zh-CN"/>
        </w:rPr>
        <w:t xml:space="preserve">6.</w:t>
      </w:r>
      <w:r>
        <w:rPr>
          <w:rFonts w:hint="eastAsia" w:ascii="宋体" w:hAnsi="宋体" w:eastAsia="宋体" w:cs="Times New Roman"/>
          <w:b w:val="0"/>
          <w:bCs w:val="0"/>
          <w:color w:val="auto"/>
          <w:highlight w:val="none"/>
        </w:rPr>
        <w:t xml:space="preserve">异常低价投标审查</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1.评审过程中出现下列情形之一的，评审委员会应当启动异常低价投标审查程序：</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1.1投标报价低于采购项目预算50%的，即投标报价&lt;采购项目预算×50%；</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1.2投标报价低于采购项目最高限价45%的，即投标报价&lt;采购项目最高限价×45%；</w:t>
      </w:r>
      <w:r/>
    </w:p>
    <w:p>
      <w:pPr>
        <w:ind w:firstLine="420"/>
        <w:spacing w:line="360" w:lineRule="auto"/>
        <w:rPr>
          <w:rFonts w:hint="eastAsia" w:ascii="宋体" w:hAnsi="宋体" w:eastAsia="宋体" w:cs="Times New Roman"/>
          <w:b w:val="0"/>
          <w:bCs w:val="0"/>
          <w:color w:val="auto"/>
          <w:highlight w:val="none"/>
        </w:rPr>
      </w:pPr>
      <w:r>
        <w:rPr>
          <w:rFonts w:hint="eastAsia" w:ascii="宋体" w:hAnsi="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1.3评审委员会认定的供应商报价过低、有可能影响产品质量或者不能诚信履约的其他情形。</w:t>
      </w:r>
      <w:r/>
    </w:p>
    <w:p>
      <w:pPr>
        <w:ind w:firstLine="420"/>
        <w:spacing w:line="360" w:lineRule="auto"/>
        <w:rPr>
          <w:b w:val="0"/>
          <w:bCs w:val="0"/>
          <w:color w:val="auto"/>
          <w:highlight w:val="none"/>
        </w:rPr>
      </w:pPr>
      <w:r>
        <w:rPr>
          <w:rFonts w:hint="eastAsia" w:ascii="宋体" w:hAnsi="宋体" w:cs="Times New Roman"/>
          <w:b w:val="0"/>
          <w:bCs w:val="0"/>
          <w:color w:val="auto"/>
          <w:highlight w:val="none"/>
          <w:lang w:val="en-US" w:eastAsia="zh-CN"/>
        </w:rPr>
        <w:t xml:space="preserve">6.</w:t>
      </w:r>
      <w:r>
        <w:rPr>
          <w:rFonts w:hint="eastAsia" w:ascii="宋体" w:hAnsi="宋体" w:eastAsia="宋体" w:cs="Times New Roman"/>
          <w:b w:val="0"/>
          <w:bCs w:val="0"/>
          <w:color w:val="auto"/>
          <w:highlight w:val="none"/>
        </w:rPr>
        <w:t xml:space="preserve">2.启动异常低价投标审查程序后，评审委员会应当要求相关供应商在评标现场合理的时间内(由评审委员会商定澄清时间，澄清时间不少于20分钟)，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（一）中小微企业</w:t>
      </w:r>
      <w:r/>
    </w:p>
    <w:p>
      <w:pPr>
        <w:ind w:firstLine="420"/>
        <w:spacing w:line="360" w:lineRule="auto"/>
        <w:rPr>
          <w:rFonts w:hint="eastAsia" w:hAnsi="宋体"/>
          <w:b/>
          <w:bCs/>
          <w:color w:val="auto"/>
          <w:szCs w:val="21"/>
          <w:highlight w:val="none"/>
        </w:rPr>
      </w:pPr>
      <w:r>
        <w:rPr>
          <w:rFonts w:hint="eastAsia" w:hAnsi="宋体"/>
          <w:color w:val="auto"/>
          <w:szCs w:val="21"/>
          <w:highlight w:val="none"/>
        </w:rPr>
        <w:t xml:space="preserve">根据《政府采购促进中小企业发展管理办法》（财库〔2020〕46号）、《苏州市政府采购促进中小企业发展实施意见》（苏财购〔2022〕16号）的相关规定，本项目为专门面向中小企业采购。如投标人所投货物制造商均认定为中型、小型或微型企业，则需根据《中小企业划型标准规定》（工信部联企业〔2011〕300号）填报《中小企业声明函》。</w:t>
      </w:r>
      <w:r>
        <w:rPr>
          <w:rFonts w:hint="eastAsia" w:hAnsi="宋体"/>
          <w:b/>
          <w:bCs/>
          <w:color w:val="auto"/>
          <w:szCs w:val="21"/>
          <w:highlight w:val="none"/>
        </w:rPr>
        <w:t xml:space="preserve">加盖公章后的《中小企业声明函》电子件放置于</w:t>
      </w:r>
      <w:r>
        <w:rPr>
          <w:rFonts w:hint="eastAsia" w:ascii="宋体" w:hAnsi="宋体"/>
          <w:b/>
          <w:color w:val="auto"/>
          <w:szCs w:val="21"/>
          <w:highlight w:val="none"/>
        </w:rPr>
        <w:t xml:space="preserve">响应文件</w:t>
      </w:r>
      <w:r>
        <w:rPr>
          <w:rFonts w:hint="eastAsia" w:hAnsi="宋体"/>
          <w:b/>
          <w:bCs/>
          <w:color w:val="auto"/>
          <w:szCs w:val="21"/>
          <w:highlight w:val="none"/>
        </w:rPr>
        <w:t xml:space="preserve">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spacing w:line="360" w:lineRule="auto"/>
        <w:rPr>
          <w:rFonts w:hint="eastAsia" w:hAnsi="宋体" w:eastAsia="宋体" w:cs="宋体"/>
          <w:b/>
          <w:bCs/>
          <w:color w:val="auto"/>
          <w:highlight w:val="none"/>
          <w:lang w:eastAsia="zh-CN"/>
        </w:rPr>
      </w:pPr>
      <w:r>
        <w:rPr>
          <w:rFonts w:hint="eastAsia" w:hAnsi="宋体" w:cs="宋体"/>
          <w:color w:val="auto"/>
          <w:highlight w:val="none"/>
        </w:rPr>
        <w:t xml:space="preserve">根据《三部门联合发布关于促进残疾人就业政府采购政策的通知》（财库〔2017〕141号）的相关规定，如投标人为残疾人福利性单位且</w:t>
      </w:r>
      <w:r>
        <w:rPr>
          <w:rFonts w:hint="eastAsia" w:hAnsi="宋体"/>
          <w:color w:val="auto"/>
          <w:szCs w:val="21"/>
          <w:highlight w:val="none"/>
        </w:rPr>
        <w:t xml:space="preserve">所投货物制造商均为</w:t>
      </w:r>
      <w:r>
        <w:rPr>
          <w:rFonts w:hint="eastAsia" w:hAnsi="宋体" w:cs="宋体"/>
          <w:color w:val="auto"/>
          <w:highlight w:val="none"/>
        </w:rPr>
        <w:t xml:space="preserve">残疾人福利性单位，则视同小型、微型企业，享受预留份额的政府采购政策。</w:t>
      </w:r>
      <w:r>
        <w:rPr>
          <w:rFonts w:hint="eastAsia" w:hAnsi="宋体" w:cs="宋体"/>
          <w:b/>
          <w:bCs/>
          <w:color w:val="auto"/>
          <w:highlight w:val="none"/>
        </w:rPr>
        <w:t xml:space="preserve">加盖公章后的《残疾人福利性单位声明函》电子件放置于</w:t>
      </w:r>
      <w:r>
        <w:rPr>
          <w:rFonts w:hint="eastAsia" w:ascii="宋体" w:hAnsi="宋体"/>
          <w:b/>
          <w:color w:val="auto"/>
          <w:szCs w:val="21"/>
          <w:highlight w:val="none"/>
        </w:rPr>
        <w:t xml:space="preserve">响应文件</w:t>
      </w:r>
      <w:r>
        <w:rPr>
          <w:rFonts w:hint="eastAsia" w:hAnsi="宋体" w:cs="宋体"/>
          <w:b/>
          <w:bCs/>
          <w:color w:val="auto"/>
          <w:highlight w:val="none"/>
        </w:rPr>
        <w:t xml:space="preserve">中提交</w:t>
      </w:r>
      <w:r>
        <w:rPr>
          <w:rFonts w:hint="eastAsia" w:hAnsi="宋体" w:cs="宋体"/>
          <w:b/>
          <w:bCs/>
          <w:color w:val="auto"/>
          <w:highlight w:val="none"/>
          <w:lang w:eastAsia="zh-CN"/>
        </w:rPr>
        <w:t xml:space="preserve">。</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spacing w:line="360" w:lineRule="auto"/>
        <w:rPr>
          <w:rFonts w:hint="default" w:ascii="宋体" w:hAnsi="宋体" w:eastAsia="宋体" w:cs="Times New Roman"/>
          <w:color w:val="auto"/>
          <w:szCs w:val="21"/>
          <w:highlight w:val="none"/>
        </w:rPr>
      </w:pPr>
      <w:r>
        <w:rPr>
          <w:rFonts w:hint="eastAsia" w:ascii="Times New Roman" w:hAnsi="宋体" w:eastAsia="宋体" w:cs="宋体"/>
          <w:color w:val="auto"/>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Times New Roman" w:hAnsi="宋体" w:eastAsia="宋体" w:cs="宋体"/>
          <w:b/>
          <w:bCs/>
          <w:color w:val="auto"/>
          <w:highlight w:val="none"/>
        </w:rPr>
        <w:t xml:space="preserve">证明文件电子件放置于</w:t>
      </w:r>
      <w:r>
        <w:rPr>
          <w:rFonts w:hint="eastAsia" w:ascii="宋体" w:hAnsi="宋体" w:eastAsia="宋体" w:cs="Times New Roman"/>
          <w:b/>
          <w:color w:val="auto"/>
          <w:szCs w:val="21"/>
          <w:highlight w:val="none"/>
        </w:rPr>
        <w:t xml:space="preserve">响应文件</w:t>
      </w:r>
      <w:r>
        <w:rPr>
          <w:rFonts w:hint="eastAsia" w:ascii="Times New Roman" w:hAnsi="宋体" w:eastAsia="宋体" w:cs="宋体"/>
          <w:b/>
          <w:bCs/>
          <w:color w:val="auto"/>
          <w:highlight w:val="none"/>
        </w:rPr>
        <w:t xml:space="preserve">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（四）绿色采购</w:t>
      </w:r>
      <w:r/>
    </w:p>
    <w:p>
      <w:pPr>
        <w:ind w:firstLine="420"/>
        <w:spacing w:line="360" w:lineRule="auto"/>
        <w:rPr>
          <w:rFonts w:hint="eastAsia" w:ascii="宋体" w:hAnsi="宋体" w:eastAsia="宋体" w:cs="宋体"/>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color w:val="auto"/>
          <w:highlight w:val="none"/>
        </w:rPr>
        <w:t xml:space="preserve">若本次拟采购的产品（包括清单所列的标的、配件、材料）中有属于《节能产品政府采购品目清单》政府强制采购产品的，供应商</w:t>
      </w:r>
      <w:r>
        <w:rPr>
          <w:rFonts w:hint="eastAsia" w:ascii="宋体" w:hAnsi="宋体"/>
          <w:b/>
          <w:color w:val="auto"/>
          <w:szCs w:val="21"/>
          <w:highlight w:val="none"/>
        </w:rPr>
        <w:t xml:space="preserve">需提供该产品有效期内的认证等相关证明材料，证明材料电子件放置于响应文件中提交。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spacing w:line="360" w:lineRule="auto"/>
        <w:rPr>
          <w:b/>
          <w:color w:val="auto"/>
          <w:szCs w:val="21"/>
          <w:highlight w:val="none"/>
        </w:rPr>
      </w:pPr>
      <w:r>
        <w:rPr>
          <w:rFonts w:hint="eastAsia"/>
          <w:b/>
          <w:color w:val="auto"/>
          <w:szCs w:val="21"/>
          <w:highlight w:val="none"/>
        </w:rPr>
        <w:t xml:space="preserve">二、评审内容：</w:t>
      </w:r>
      <w:r/>
    </w:p>
    <w:tbl>
      <w:tblPr>
        <w:tblStyle w:val="741"/>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2072"/>
        <w:gridCol w:w="1159"/>
      </w:tblGrid>
      <w:tr>
        <w:trPr>
          <w:jc w:val="center"/>
          <w:trHeight w:val="490"/>
        </w:trPr>
        <w:tc>
          <w:tcPr>
            <w:tcBorders>
              <w:top w:val="single" w:color="auto" w:sz="4" w:space="0"/>
              <w:left w:val="single" w:color="auto" w:sz="4" w:space="0"/>
              <w:bottom w:val="single" w:color="auto" w:sz="4" w:space="0"/>
              <w:right w:val="single" w:color="auto" w:sz="4" w:space="0"/>
            </w:tcBorders>
            <w:tcW w:w="677" w:type="dxa"/>
            <w:vAlign w:val="bottom"/>
            <w:textDirection w:val="lrTb"/>
            <w:noWrap w:val="false"/>
          </w:tcPr>
          <w:p>
            <w:pPr>
              <w:jc w:val="center"/>
              <w:keepLines w:val="0"/>
              <w:keepNext w:val="0"/>
              <w:pageBreakBefore w:val="0"/>
              <w:spacing w:line="300" w:lineRule="exact"/>
              <w:widowControl w:val="off"/>
              <w:rPr>
                <w:color w:val="auto"/>
                <w:szCs w:val="21"/>
                <w:highlight w:val="none"/>
              </w:rPr>
            </w:pPr>
            <w:r/>
            <w:bookmarkStart w:id="18" w:name="gpc_accord_horizontal_1"/>
            <w:r>
              <w:rPr>
                <w:rFonts w:hint="eastAsia" w:hAnsi="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311" w:type="dxa"/>
            <w:vAlign w:val="bottom"/>
            <w:textDirection w:val="lrTb"/>
            <w:noWrap w:val="false"/>
          </w:tcPr>
          <w:p>
            <w:pPr>
              <w:jc w:val="center"/>
              <w:keepLines w:val="0"/>
              <w:keepNext w:val="0"/>
              <w:pageBreakBefore w:val="0"/>
              <w:spacing w:line="300" w:lineRule="exact"/>
              <w:widowControl w:val="off"/>
              <w:rPr>
                <w:color w:val="auto"/>
                <w:szCs w:val="21"/>
                <w:highlight w:val="none"/>
              </w:rPr>
            </w:pPr>
            <w:r>
              <w:rPr>
                <w:rFonts w:hint="eastAsia" w:hAnsi="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072" w:type="dxa"/>
            <w:vAlign w:val="bottom"/>
            <w:textDirection w:val="lrTb"/>
            <w:noWrap w:val="false"/>
          </w:tcPr>
          <w:p>
            <w:pPr>
              <w:jc w:val="center"/>
              <w:keepLines w:val="0"/>
              <w:keepNext w:val="0"/>
              <w:pageBreakBefore w:val="0"/>
              <w:spacing w:line="300" w:lineRule="exact"/>
              <w:widowControl w:val="off"/>
              <w:rPr>
                <w:color w:val="auto"/>
                <w:szCs w:val="21"/>
                <w:highlight w:val="none"/>
              </w:rPr>
            </w:pPr>
            <w:r>
              <w:rPr>
                <w:rFonts w:hint="eastAsia" w:hAnsi="宋体"/>
                <w:color w:val="auto"/>
                <w:szCs w:val="21"/>
                <w:highlight w:val="none"/>
              </w:rPr>
              <w:t xml:space="preserve">是否合格</w:t>
            </w:r>
            <w:r>
              <w:rPr>
                <w:rFonts w:hint="eastAsia" w:ascii="宋体" w:hAnsi="宋体"/>
                <w:color w:val="auto"/>
                <w:szCs w:val="21"/>
                <w:highlight w:val="none"/>
              </w:rPr>
              <w:t xml:space="preserve">（是/否）</w:t>
            </w:r>
            <w:r/>
          </w:p>
        </w:tc>
        <w:tc>
          <w:tcPr>
            <w:tcBorders>
              <w:top w:val="single" w:color="auto" w:sz="4" w:space="0"/>
              <w:left w:val="single" w:color="auto" w:sz="4" w:space="0"/>
              <w:bottom w:val="single" w:color="auto" w:sz="4" w:space="0"/>
              <w:right w:val="single" w:color="auto" w:sz="4" w:space="0"/>
            </w:tcBorders>
            <w:tcW w:w="1159" w:type="dxa"/>
            <w:vAlign w:val="bottom"/>
            <w:textDirection w:val="lrTb"/>
            <w:noWrap w:val="false"/>
          </w:tcPr>
          <w:p>
            <w:pPr>
              <w:jc w:val="center"/>
              <w:keepLines w:val="0"/>
              <w:keepNext w:val="0"/>
              <w:pageBreakBefore w:val="0"/>
              <w:spacing w:line="300" w:lineRule="exact"/>
              <w:widowControl w:val="off"/>
              <w:rPr>
                <w:color w:val="auto"/>
                <w:szCs w:val="21"/>
                <w:highlight w:val="none"/>
              </w:rPr>
            </w:pPr>
            <w:r>
              <w:rPr>
                <w:rFonts w:hint="eastAsia"/>
                <w:color w:val="auto"/>
                <w:szCs w:val="21"/>
                <w:highlight w:val="none"/>
              </w:rPr>
              <w:t xml:space="preserve">备注</w:t>
            </w:r>
            <w:r/>
          </w:p>
        </w:tc>
      </w:tr>
      <w:tr>
        <w:trPr>
          <w:jc w:val="center"/>
          <w:trHeight w:val="455"/>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pageBreakBefore w:val="0"/>
              <w:spacing w:line="300" w:lineRule="exact"/>
              <w:widowControl w:val="off"/>
              <w:rPr>
                <w:color w:val="auto"/>
                <w:szCs w:val="21"/>
                <w:highlight w:val="none"/>
              </w:rPr>
            </w:pPr>
            <w:r>
              <w:rPr>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keepLines w:val="0"/>
              <w:keepNext w:val="0"/>
              <w:pageBreakBefore w:val="0"/>
              <w:spacing w:line="300" w:lineRule="exact"/>
              <w:widowControl w:val="off"/>
              <w:rPr>
                <w:color w:val="auto"/>
                <w:szCs w:val="21"/>
                <w:highlight w:val="none"/>
              </w:rPr>
            </w:pPr>
            <w:r>
              <w:rPr>
                <w:rFonts w:hint="eastAsia" w:hAnsi="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072"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r>
      <w:tr>
        <w:trPr>
          <w:jc w:val="center"/>
          <w:trHeight w:val="518"/>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pageBreakBefore w:val="0"/>
              <w:spacing w:line="300" w:lineRule="exact"/>
              <w:widowControl w:val="off"/>
              <w:tabs>
                <w:tab w:val="left" w:pos="0" w:leader="none"/>
              </w:tabs>
              <w:rPr>
                <w:color w:val="auto"/>
                <w:szCs w:val="21"/>
                <w:highlight w:val="none"/>
              </w:rPr>
            </w:pPr>
            <w:r>
              <w:rPr>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keepLines w:val="0"/>
              <w:keepNext w:val="0"/>
              <w:pageBreakBefore w:val="0"/>
              <w:spacing w:line="300" w:lineRule="exact"/>
              <w:widowControl w:val="off"/>
              <w:tabs>
                <w:tab w:val="left" w:pos="0" w:leader="none"/>
              </w:tabs>
              <w:rPr>
                <w:color w:val="auto"/>
                <w:szCs w:val="21"/>
                <w:highlight w:val="none"/>
              </w:rPr>
            </w:pPr>
            <w:r>
              <w:rPr>
                <w:rFonts w:hint="eastAsia" w:ascii="宋体" w:hAnsi="宋体" w:cs="Arial"/>
                <w:color w:val="auto"/>
                <w:szCs w:val="21"/>
                <w:highlight w:val="none"/>
              </w:rPr>
              <w:t xml:space="preserve">谈判响应内容及要求是否符合谈判文件要求</w:t>
            </w:r>
            <w:r/>
          </w:p>
        </w:tc>
        <w:tc>
          <w:tcPr>
            <w:tcBorders>
              <w:top w:val="single" w:color="auto" w:sz="4" w:space="0"/>
              <w:left w:val="single" w:color="auto" w:sz="4" w:space="0"/>
              <w:bottom w:val="single" w:color="auto" w:sz="4" w:space="0"/>
              <w:right w:val="single" w:color="auto" w:sz="4" w:space="0"/>
            </w:tcBorders>
            <w:tcW w:w="2072"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r>
      <w:tr>
        <w:trPr>
          <w:jc w:val="center"/>
          <w:trHeight w:val="47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pageBreakBefore w:val="0"/>
              <w:spacing w:line="300" w:lineRule="exact"/>
              <w:widowControl w:val="off"/>
              <w:tabs>
                <w:tab w:val="left" w:pos="0" w:leader="none"/>
              </w:tabs>
              <w:rPr>
                <w:color w:val="auto"/>
                <w:szCs w:val="21"/>
                <w:highlight w:val="none"/>
              </w:rPr>
            </w:pPr>
            <w:r>
              <w:rPr>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keepLines w:val="0"/>
              <w:keepNext w:val="0"/>
              <w:pageBreakBefore w:val="0"/>
              <w:spacing w:line="300" w:lineRule="exact"/>
              <w:widowControl w:val="off"/>
              <w:tabs>
                <w:tab w:val="left" w:pos="0" w:leader="none"/>
              </w:tabs>
              <w:rPr>
                <w:color w:val="auto"/>
                <w:szCs w:val="21"/>
                <w:highlight w:val="none"/>
              </w:rPr>
            </w:pPr>
            <w:r>
              <w:rPr>
                <w:rFonts w:hint="eastAsia" w:ascii="宋体" w:hAnsi="宋体" w:cs="宋体"/>
                <w:color w:val="auto"/>
                <w:szCs w:val="21"/>
                <w:highlight w:val="none"/>
                <w:lang w:val="en-US" w:eastAsia="zh-CN"/>
              </w:rPr>
              <w:t xml:space="preserve">交货期</w:t>
            </w:r>
            <w:r>
              <w:rPr>
                <w:rFonts w:hint="eastAsia" w:ascii="宋体" w:hAnsi="宋体" w:cs="宋体"/>
                <w:color w:val="auto"/>
                <w:szCs w:val="21"/>
                <w:highlight w:val="none"/>
              </w:rPr>
              <w:t xml:space="preserve">、付款</w:t>
            </w:r>
            <w:r>
              <w:rPr>
                <w:rFonts w:hint="eastAsia" w:ascii="宋体" w:hAnsi="宋体" w:cs="宋体"/>
                <w:color w:val="auto"/>
                <w:szCs w:val="21"/>
                <w:highlight w:val="none"/>
                <w:lang w:val="en-US" w:eastAsia="zh-CN"/>
              </w:rPr>
              <w:t xml:space="preserve">方式</w:t>
            </w:r>
            <w:r>
              <w:rPr>
                <w:rFonts w:hint="eastAsia" w:ascii="宋体" w:hAnsi="宋体" w:cs="宋体"/>
                <w:color w:val="auto"/>
                <w:szCs w:val="21"/>
                <w:highlight w:val="none"/>
              </w:rPr>
              <w:t xml:space="preserve">等其他综合内容承诺</w:t>
            </w:r>
            <w:r/>
          </w:p>
        </w:tc>
        <w:tc>
          <w:tcPr>
            <w:tcBorders>
              <w:top w:val="single" w:color="auto" w:sz="4" w:space="0"/>
              <w:left w:val="single" w:color="auto" w:sz="4" w:space="0"/>
              <w:bottom w:val="single" w:color="auto" w:sz="4" w:space="0"/>
              <w:right w:val="single" w:color="auto" w:sz="4" w:space="0"/>
            </w:tcBorders>
            <w:tcW w:w="2072"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keepLines w:val="0"/>
              <w:keepNext w:val="0"/>
              <w:pageBreakBefore w:val="0"/>
              <w:spacing w:line="300" w:lineRule="exact"/>
              <w:widowControl w:val="off"/>
              <w:tabs>
                <w:tab w:val="left" w:pos="0" w:leader="none"/>
              </w:tabs>
              <w:rPr>
                <w:color w:val="auto"/>
                <w:szCs w:val="21"/>
                <w:highlight w:val="none"/>
              </w:rPr>
            </w:pPr>
            <w:r>
              <w:rPr>
                <w:rFonts w:hint="eastAsia"/>
                <w:color w:val="auto"/>
                <w:szCs w:val="21"/>
                <w:highlight w:val="none"/>
              </w:rPr>
              <w:t xml:space="preserve">4</w:t>
            </w:r>
            <w:bookmarkEnd w:id="18"/>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keepLines w:val="0"/>
              <w:keepNext w:val="0"/>
              <w:pageBreakBefore w:val="0"/>
              <w:spacing w:line="300" w:lineRule="exact"/>
              <w:widowControl w:val="off"/>
              <w:tabs>
                <w:tab w:val="left" w:pos="0" w:leader="none"/>
                <w:tab w:val="left" w:pos="3048" w:leader="none"/>
              </w:tabs>
              <w:rPr>
                <w:rFonts w:hAnsi="宋体"/>
                <w:color w:val="auto"/>
                <w:szCs w:val="21"/>
                <w:highlight w:val="none"/>
              </w:rPr>
            </w:pPr>
            <w:r>
              <w:rPr>
                <w:rFonts w:hint="eastAsia" w:ascii="宋体" w:hAnsi="宋体" w:cs="宋体"/>
                <w:color w:val="auto"/>
                <w:szCs w:val="21"/>
                <w:highlight w:val="none"/>
              </w:rPr>
              <w:t xml:space="preserve">其他（除供应商资格条件及采购技术内容以外的其他涉及实质性响应谈判文件的条款内容）</w:t>
            </w:r>
            <w:r>
              <w:rPr>
                <w:rFonts w:hint="eastAsia" w:hAnsi="宋体"/>
                <w:color w:val="auto"/>
                <w:szCs w:val="21"/>
                <w:highlight w:val="none"/>
              </w:rPr>
              <w:tab/>
            </w:r>
            <w:r/>
          </w:p>
        </w:tc>
        <w:tc>
          <w:tcPr>
            <w:tcBorders>
              <w:top w:val="single" w:color="auto" w:sz="4" w:space="0"/>
              <w:left w:val="single" w:color="auto" w:sz="4" w:space="0"/>
              <w:bottom w:val="single" w:color="auto" w:sz="4" w:space="0"/>
              <w:right w:val="single" w:color="auto" w:sz="4" w:space="0"/>
            </w:tcBorders>
            <w:tcW w:w="2072"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c>
          <w:tcPr>
            <w:tcBorders>
              <w:top w:val="single" w:color="auto" w:sz="4" w:space="0"/>
              <w:left w:val="single" w:color="auto" w:sz="4" w:space="0"/>
              <w:bottom w:val="single" w:color="auto" w:sz="4" w:space="0"/>
              <w:right w:val="single" w:color="auto" w:sz="4" w:space="0"/>
            </w:tcBorders>
            <w:tcW w:w="1159" w:type="dxa"/>
            <w:vAlign w:val="center"/>
            <w:textDirection w:val="lrTb"/>
            <w:noWrap w:val="false"/>
          </w:tcPr>
          <w:p>
            <w:pPr>
              <w:keepLines w:val="0"/>
              <w:keepNext w:val="0"/>
              <w:pageBreakBefore w:val="0"/>
              <w:spacing w:line="300" w:lineRule="exact"/>
              <w:widowControl w:val="off"/>
              <w:rPr>
                <w:color w:val="auto"/>
                <w:szCs w:val="21"/>
                <w:highlight w:val="none"/>
              </w:rPr>
            </w:pPr>
            <w:r>
              <w:rPr>
                <w:color w:val="auto"/>
                <w:szCs w:val="21"/>
                <w:highlight w:val="none"/>
              </w:rPr>
            </w:r>
            <w:r/>
          </w:p>
        </w:tc>
      </w:tr>
    </w:tbl>
    <w:p>
      <w:pPr>
        <w:rPr>
          <w:color w:val="auto"/>
          <w:highlight w:val="none"/>
        </w:rPr>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425" w:equalWidth="1"/>
          <w:docGrid w:linePitch="360"/>
        </w:sectPr>
      </w:pPr>
      <w:r>
        <w:rPr>
          <w:color w:val="auto"/>
          <w:highlight w:val="none"/>
        </w:rPr>
      </w:r>
      <w:r/>
    </w:p>
    <w:p>
      <w:pPr>
        <w:pStyle w:val="731"/>
        <w:jc w:val="center"/>
        <w:spacing w:line="240" w:lineRule="auto"/>
        <w:rPr>
          <w:rStyle w:val="1050"/>
          <w:b/>
          <w:bCs w:val="0"/>
          <w:color w:val="auto"/>
          <w:sz w:val="32"/>
          <w:szCs w:val="32"/>
          <w:highlight w:val="none"/>
        </w:rPr>
      </w:pPr>
      <w:r/>
      <w:bookmarkStart w:id="19" w:name="_Toc166488924"/>
      <w:r>
        <w:rPr>
          <w:rStyle w:val="1050"/>
          <w:rFonts w:hint="eastAsia"/>
          <w:b/>
          <w:bCs w:val="0"/>
          <w:color w:val="auto"/>
          <w:sz w:val="32"/>
          <w:szCs w:val="32"/>
          <w:highlight w:val="none"/>
        </w:rPr>
        <w:t xml:space="preserve">第七章 附件</w:t>
      </w:r>
      <w:bookmarkEnd w:id="19"/>
      <w:r/>
      <w:bookmarkStart w:id="20" w:name="gpcItem_SubmitDocStruct"/>
      <w:r/>
      <w:bookmarkEnd w:id="20"/>
      <w:r/>
      <w:r/>
    </w:p>
    <w:p>
      <w:pPr>
        <w:pStyle w:val="743"/>
        <w:ind w:firstLine="0"/>
        <w:spacing w:line="360" w:lineRule="auto"/>
        <w:rPr>
          <w:rFonts w:ascii="宋体" w:hAnsi="宋体" w:eastAsia="宋体"/>
          <w:b/>
          <w:color w:val="auto"/>
          <w:sz w:val="28"/>
          <w:szCs w:val="28"/>
          <w:highlight w:val="none"/>
        </w:rPr>
      </w:pPr>
      <w:r/>
      <w:bookmarkStart w:id="21" w:name="gpcItem_tenderStruct2"/>
      <w:r>
        <w:rPr>
          <w:rFonts w:hint="eastAsia" w:ascii="宋体" w:hAnsi="宋体" w:eastAsia="宋体"/>
          <w:b/>
          <w:color w:val="auto"/>
          <w:sz w:val="28"/>
          <w:szCs w:val="28"/>
          <w:highlight w:val="none"/>
        </w:rPr>
        <w:t xml:space="preserve">响应文档结构表</w:t>
      </w:r>
      <w:r/>
    </w:p>
    <w:tbl>
      <w:tblPr>
        <w:tblStyle w:val="74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3118"/>
        <w:gridCol w:w="3997"/>
      </w:tblGrid>
      <w:tr>
        <w:trPr>
          <w:trHeight w:val="680"/>
        </w:trPr>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pStyle w:val="743"/>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标书名称</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文档名称</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3"/>
              <w:ind w:firstLine="0"/>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标题名称</w:t>
            </w:r>
            <w:r/>
          </w:p>
        </w:tc>
      </w:tr>
      <w:tr>
        <w:trPr>
          <w:trHeight w:val="590" w:hRule="exact"/>
        </w:trPr>
        <w:tc>
          <w:tcPr>
            <w:tcBorders>
              <w:left w:val="single" w:color="auto" w:sz="4" w:space="0"/>
              <w:right w:val="single" w:color="auto" w:sz="4" w:space="0"/>
            </w:tcBorders>
            <w:tcW w:w="1413" w:type="dxa"/>
            <w:vAlign w:val="center"/>
            <w:vMerge w:val="restart"/>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t xml:space="preserve">标书结构</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供应商情况表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_Ref15302730 \h  \* MERGEFORMAT </w:instrText>
            </w:r>
            <w:r>
              <w:rPr>
                <w:color w:val="auto"/>
                <w:highlight w:val="none"/>
              </w:rPr>
              <w:fldChar w:fldCharType="separate"/>
            </w:r>
            <w:r>
              <w:rPr>
                <w:rFonts w:ascii="宋体" w:hAnsi="宋体" w:eastAsia="宋体"/>
                <w:color w:val="auto"/>
                <w:sz w:val="21"/>
                <w:szCs w:val="21"/>
                <w:highlight w:val="none"/>
              </w:rPr>
              <w:t xml:space="preserve">附件1：供应商情况表</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响应承诺函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_Ref33617519 \h  \* MERGEFORMAT </w:instrText>
            </w:r>
            <w:r>
              <w:rPr>
                <w:color w:val="auto"/>
                <w:highlight w:val="none"/>
              </w:rPr>
              <w:fldChar w:fldCharType="separate"/>
            </w:r>
            <w:r>
              <w:rPr>
                <w:rFonts w:ascii="宋体" w:hAnsi="宋体" w:eastAsia="宋体"/>
                <w:color w:val="auto"/>
                <w:sz w:val="21"/>
                <w:szCs w:val="21"/>
                <w:highlight w:val="none"/>
              </w:rPr>
              <w:t xml:space="preserve">附件2：响应</w:t>
            </w:r>
            <w:r>
              <w:rPr>
                <w:rFonts w:hint="eastAsia" w:ascii="宋体" w:hAnsi="宋体" w:eastAsia="宋体"/>
                <w:color w:val="auto"/>
                <w:sz w:val="21"/>
                <w:szCs w:val="21"/>
                <w:highlight w:val="none"/>
              </w:rPr>
              <w:t xml:space="preserve">承诺</w:t>
            </w:r>
            <w:r>
              <w:rPr>
                <w:rFonts w:ascii="宋体" w:hAnsi="宋体" w:eastAsia="宋体"/>
                <w:color w:val="auto"/>
                <w:sz w:val="21"/>
                <w:szCs w:val="21"/>
                <w:highlight w:val="none"/>
              </w:rPr>
              <w:t xml:space="preserve">函</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left="420" w:hanging="42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中小企业声明函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_Ref33617527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：中小企业声明函</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_Ref33617531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：残疾人福利性单位声明函</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法定代表人授权委托书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_Ref33617535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5</w:t>
            </w:r>
            <w:r>
              <w:rPr>
                <w:rFonts w:ascii="宋体" w:hAnsi="宋体" w:eastAsia="宋体"/>
                <w:color w:val="auto"/>
                <w:sz w:val="21"/>
                <w:szCs w:val="21"/>
                <w:highlight w:val="none"/>
              </w:rPr>
              <w:t xml:space="preserve">：法定代表人授权委托书:</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开标一览表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_Ref15302750 \h  \* MERGEFORMAT </w:instrText>
            </w:r>
            <w:r>
              <w:rPr>
                <w:color w:val="auto"/>
                <w:highlight w:val="none"/>
              </w:rPr>
              <w:fldChar w:fldCharType="separate"/>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：开标一览表</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报价分析表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3"/>
              <w:ind w:firstLine="0"/>
              <w:rPr>
                <w:rFonts w:ascii="宋体" w:hAnsi="宋体" w:eastAsia="宋体"/>
                <w:color w:val="auto"/>
                <w:sz w:val="21"/>
                <w:szCs w:val="21"/>
                <w:highlight w:val="none"/>
              </w:rPr>
            </w:pPr>
            <w:r>
              <w:rPr>
                <w:color w:val="auto"/>
                <w:highlight w:val="none"/>
              </w:rPr>
              <w:fldChar w:fldCharType="begin"/>
            </w:r>
            <w:r>
              <w:rPr>
                <w:color w:val="auto"/>
                <w:highlight w:val="none"/>
              </w:rPr>
              <w:instrText xml:space="preserve"> REF _Ref15304724 \h  \* MERGEFORMAT </w:instrText>
            </w:r>
            <w:r>
              <w:rPr>
                <w:color w:val="auto"/>
                <w:highlight w:val="none"/>
              </w:rPr>
              <w:fldChar w:fldCharType="separate"/>
            </w:r>
            <w:r>
              <w:rPr>
                <w:rFonts w:ascii="宋体" w:hAnsi="宋体" w:eastAsia="宋体"/>
                <w:color w:val="auto"/>
                <w:sz w:val="21"/>
                <w:szCs w:val="21"/>
                <w:highlight w:val="none"/>
              </w:rPr>
              <w:br w:type="column"/>
            </w:r>
            <w:r>
              <w:rPr>
                <w:rFonts w:ascii="宋体" w:hAnsi="宋体" w:eastAsia="宋体"/>
                <w:color w:val="auto"/>
                <w:sz w:val="21"/>
                <w:szCs w:val="21"/>
                <w:highlight w:val="none"/>
              </w:rPr>
              <w:t xml:space="preserve">附件</w:t>
            </w:r>
            <w:r>
              <w:rPr>
                <w:rFonts w:hint="eastAsia" w:ascii="宋体" w:hAnsi="宋体" w:eastAsia="宋体"/>
                <w:color w:val="auto"/>
                <w:sz w:val="21"/>
                <w:szCs w:val="21"/>
                <w:highlight w:val="none"/>
              </w:rPr>
              <w:t xml:space="preserve">7</w:t>
            </w:r>
            <w:r>
              <w:rPr>
                <w:rFonts w:ascii="宋体" w:hAnsi="宋体" w:eastAsia="宋体"/>
                <w:color w:val="auto"/>
                <w:sz w:val="21"/>
                <w:szCs w:val="21"/>
                <w:highlight w:val="none"/>
              </w:rPr>
              <w:t xml:space="preserve">：报价分析表</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拟投入人员一览表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3"/>
              <w:ind w:firstLine="0"/>
              <w:rPr>
                <w:rFonts w:hint="default"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附件</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拟投入人员一览表</w:t>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相关业绩一览表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3"/>
              <w:ind w:firstLine="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附件</w:t>
            </w:r>
            <w:r>
              <w:rPr>
                <w:rFonts w:hint="eastAsia" w:ascii="宋体" w:hAnsi="宋体" w:eastAsia="宋体"/>
                <w:color w:val="auto"/>
                <w:sz w:val="21"/>
                <w:szCs w:val="21"/>
                <w:highlight w:val="none"/>
                <w:lang w:val="en-US" w:eastAsia="zh-CN"/>
              </w:rPr>
              <w:t xml:space="preserve">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相关业绩一览表</w:t>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服务方案</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pStyle w:val="74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附件</w:t>
            </w:r>
            <w:r>
              <w:rPr>
                <w:rFonts w:hint="eastAsia" w:ascii="宋体" w:hAnsi="宋体" w:eastAsia="宋体"/>
                <w:color w:val="auto"/>
                <w:sz w:val="21"/>
                <w:szCs w:val="21"/>
                <w:highlight w:val="none"/>
                <w:lang w:val="en-US" w:eastAsia="zh-CN"/>
              </w:rPr>
              <w:t xml:space="preserve">10</w:t>
            </w:r>
            <w:r>
              <w:rPr>
                <w:rFonts w:hint="eastAsia" w:ascii="宋体" w:hAnsi="宋体" w:eastAsia="宋体"/>
                <w:color w:val="auto"/>
                <w:sz w:val="21"/>
                <w:szCs w:val="21"/>
                <w:highlight w:val="none"/>
              </w:rPr>
              <w:t xml:space="preserve">：服务方案</w:t>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偏离表</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rFonts w:ascii="宋体" w:hAnsi="宋体"/>
                <w:b/>
                <w:bCs/>
                <w:color w:val="auto"/>
                <w:szCs w:val="21"/>
                <w:highlight w:val="none"/>
              </w:rPr>
            </w:pPr>
            <w:r>
              <w:rPr>
                <w:color w:val="auto"/>
                <w:highlight w:val="none"/>
              </w:rPr>
              <w:fldChar w:fldCharType="begin"/>
            </w:r>
            <w:r>
              <w:rPr>
                <w:color w:val="auto"/>
                <w:highlight w:val="none"/>
              </w:rPr>
              <w:instrText xml:space="preserve"> REF _Ref33617553 \h  \* MERGEFORMAT </w:instrText>
            </w:r>
            <w:r>
              <w:rPr>
                <w:color w:val="auto"/>
                <w:highlight w:val="none"/>
              </w:rPr>
              <w:fldChar w:fldCharType="separate"/>
            </w:r>
            <w:r>
              <w:rPr>
                <w:rFonts w:ascii="宋体" w:hAnsi="宋体"/>
                <w:color w:val="auto"/>
                <w:szCs w:val="21"/>
                <w:highlight w:val="none"/>
              </w:rPr>
              <w:br w:type="page" w:clear="all"/>
            </w:r>
            <w:r>
              <w:rPr>
                <w:rFonts w:hint="eastAsia" w:ascii="宋体" w:hAnsi="宋体"/>
                <w:color w:val="auto"/>
                <w:szCs w:val="21"/>
                <w:highlight w:val="none"/>
              </w:rPr>
              <w:t xml:space="preserve">附件</w:t>
            </w:r>
            <w:r>
              <w:rPr>
                <w:rFonts w:ascii="宋体" w:hAnsi="宋体"/>
                <w:color w:val="auto"/>
                <w:szCs w:val="21"/>
                <w:highlight w:val="none"/>
              </w:rPr>
              <w:t xml:space="preserve">1</w:t>
            </w:r>
            <w:r>
              <w:rPr>
                <w:rFonts w:hint="eastAsia" w:ascii="宋体" w:hAnsi="宋体"/>
                <w:color w:val="auto"/>
                <w:szCs w:val="21"/>
                <w:highlight w:val="none"/>
                <w:lang w:val="en-US" w:eastAsia="zh-CN"/>
              </w:rPr>
              <w:t xml:space="preserve">1</w:t>
            </w:r>
            <w:r>
              <w:rPr>
                <w:rFonts w:ascii="宋体" w:hAnsi="宋体"/>
                <w:color w:val="auto"/>
                <w:szCs w:val="21"/>
                <w:highlight w:val="none"/>
              </w:rPr>
              <w:t xml:space="preserve">：偏离表（技术、商务）</w:t>
            </w:r>
            <w:r>
              <w:rPr>
                <w:color w:val="auto"/>
                <w:highlight w:val="none"/>
              </w:rPr>
              <w:fldChar w:fldCharType="end"/>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资格证明声明函</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2</w:t>
            </w:r>
            <w:r>
              <w:rPr>
                <w:rFonts w:hint="eastAsia"/>
                <w:color w:val="auto"/>
                <w:highlight w:val="none"/>
              </w:rPr>
              <w:t xml:space="preserve">：</w:t>
            </w:r>
            <w:r>
              <w:rPr>
                <w:rFonts w:hint="eastAsia" w:ascii="宋体" w:hAnsi="宋体"/>
                <w:color w:val="auto"/>
                <w:szCs w:val="21"/>
                <w:highlight w:val="none"/>
              </w:rPr>
              <w:t xml:space="preserve">资格证明声明函</w:t>
            </w:r>
            <w:r/>
          </w:p>
        </w:tc>
      </w:tr>
      <w:tr>
        <w:trPr>
          <w:trHeight w:val="590" w:hRule="exact"/>
        </w:trPr>
        <w:tc>
          <w:tcPr>
            <w:tcBorders>
              <w:left w:val="single" w:color="auto" w:sz="4" w:space="0"/>
              <w:right w:val="single" w:color="auto" w:sz="4" w:space="0"/>
            </w:tcBorders>
            <w:tcW w:w="1413" w:type="dxa"/>
            <w:vAlign w:val="center"/>
            <w:vMerge w:val="continue"/>
            <w:textDirection w:val="lrTb"/>
            <w:noWrap w:val="false"/>
          </w:tcPr>
          <w:p>
            <w:pPr>
              <w:jc w:val="left"/>
              <w:widowControl/>
              <w:rPr>
                <w:rFonts w:ascii="宋体" w:hAnsi="宋体"/>
                <w:b/>
                <w:color w:val="auto"/>
                <w:sz w:val="24"/>
                <w:szCs w:val="21"/>
                <w:highlight w:val="none"/>
              </w:rPr>
            </w:pPr>
            <w:r>
              <w:rPr>
                <w:rFonts w:ascii="宋体" w:hAnsi="宋体"/>
                <w:b/>
                <w:color w:val="auto"/>
                <w:sz w:val="24"/>
                <w:szCs w:val="21"/>
                <w:highlight w:val="none"/>
              </w:rPr>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743"/>
              <w:ind w:firstLine="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997" w:type="dxa"/>
            <w:vAlign w:val="center"/>
            <w:textDirection w:val="lrTb"/>
            <w:noWrap w:val="false"/>
          </w:tcPr>
          <w:p>
            <w:pPr>
              <w:jc w:val="left"/>
              <w:widowControl/>
              <w:rPr>
                <w:color w:val="auto"/>
                <w:highlight w:val="none"/>
              </w:rPr>
            </w:pPr>
            <w:r>
              <w:rPr>
                <w:rFonts w:hint="eastAsia"/>
                <w:color w:val="auto"/>
                <w:highlight w:val="none"/>
              </w:rPr>
              <w:t xml:space="preserve">附件</w:t>
            </w:r>
            <w:r>
              <w:rPr>
                <w:color w:val="auto"/>
                <w:highlight w:val="none"/>
              </w:rPr>
              <w:t xml:space="preserve">1</w:t>
            </w:r>
            <w:r>
              <w:rPr>
                <w:rFonts w:hint="eastAsia"/>
                <w:color w:val="auto"/>
                <w:highlight w:val="none"/>
                <w:lang w:val="en-US" w:eastAsia="zh-CN"/>
              </w:rPr>
              <w:t xml:space="preserve">3</w:t>
            </w:r>
            <w:r>
              <w:rPr>
                <w:rFonts w:hint="eastAsia"/>
                <w:color w:val="auto"/>
                <w:highlight w:val="none"/>
              </w:rPr>
              <w:t xml:space="preserve">：</w:t>
            </w:r>
            <w:r>
              <w:rPr>
                <w:color w:val="auto"/>
                <w:szCs w:val="21"/>
                <w:highlight w:val="none"/>
              </w:rPr>
              <w:t xml:space="preserve">远程参与开标会议诚信承诺书</w:t>
            </w:r>
            <w:bookmarkEnd w:id="21"/>
            <w:r/>
            <w:r/>
          </w:p>
        </w:tc>
      </w:tr>
    </w:tbl>
    <w:p>
      <w:pPr>
        <w:pStyle w:val="743"/>
        <w:ind w:firstLine="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w:t>
      </w:r>
      <w:r/>
    </w:p>
    <w:p>
      <w:pPr>
        <w:pStyle w:val="743"/>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对本章的格式</w:t>
      </w:r>
      <w:r>
        <w:rPr>
          <w:rFonts w:ascii="宋体" w:hAnsi="宋体" w:eastAsia="宋体"/>
          <w:b/>
          <w:color w:val="auto"/>
          <w:sz w:val="21"/>
          <w:szCs w:val="21"/>
          <w:highlight w:val="none"/>
        </w:rPr>
        <w:t xml:space="preserve">，</w:t>
      </w:r>
      <w:r>
        <w:rPr>
          <w:rFonts w:hint="eastAsia" w:ascii="宋体" w:hAnsi="宋体" w:eastAsia="宋体"/>
          <w:b/>
          <w:color w:val="auto"/>
          <w:sz w:val="21"/>
          <w:szCs w:val="21"/>
          <w:highlight w:val="none"/>
        </w:rPr>
        <w:t xml:space="preserve">供应商</w:t>
      </w:r>
      <w:r>
        <w:rPr>
          <w:rFonts w:ascii="宋体" w:hAnsi="宋体" w:eastAsia="宋体"/>
          <w:b/>
          <w:color w:val="auto"/>
          <w:sz w:val="21"/>
          <w:szCs w:val="21"/>
          <w:highlight w:val="none"/>
        </w:rPr>
        <w:t xml:space="preserve">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732"/>
        <w:rPr>
          <w:rFonts w:ascii="宋体" w:hAnsi="宋体" w:eastAsia="宋体"/>
          <w:color w:val="auto"/>
          <w:sz w:val="24"/>
          <w:szCs w:val="24"/>
          <w:highlight w:val="none"/>
        </w:rPr>
      </w:pPr>
      <w:r/>
      <w:bookmarkStart w:id="22" w:name="_Ref499899149"/>
      <w:r/>
      <w:bookmarkStart w:id="23" w:name="_Toc500143975"/>
      <w:r/>
      <w:bookmarkStart w:id="24" w:name="_Ref10712456"/>
      <w:r/>
      <w:bookmarkStart w:id="25" w:name="_Toc519686649"/>
      <w:r/>
      <w:bookmarkStart w:id="26" w:name="_Toc166488925"/>
      <w:r/>
      <w:bookmarkStart w:id="27" w:name="_Toc166487075"/>
      <w:r/>
      <w:bookmarkStart w:id="28" w:name="_Toc130478801"/>
      <w:r/>
      <w:bookmarkStart w:id="29" w:name="_Toc98785116"/>
      <w:r/>
      <w:bookmarkStart w:id="30" w:name="_Ref15302730"/>
      <w:r/>
      <w:bookmarkStart w:id="31" w:name="_Ref477865927"/>
      <w:r>
        <w:rPr>
          <w:rFonts w:ascii="宋体" w:hAnsi="宋体" w:eastAsia="宋体"/>
          <w:color w:val="auto"/>
          <w:sz w:val="24"/>
          <w:szCs w:val="24"/>
          <w:highlight w:val="none"/>
        </w:rPr>
        <w:t xml:space="preserve">附件1：</w:t>
      </w:r>
      <w:bookmarkEnd w:id="22"/>
      <w:r/>
      <w:bookmarkEnd w:id="23"/>
      <w:r/>
      <w:bookmarkEnd w:id="24"/>
      <w:r/>
      <w:bookmarkEnd w:id="25"/>
      <w:r>
        <w:rPr>
          <w:rFonts w:ascii="宋体" w:hAnsi="宋体" w:eastAsia="宋体"/>
          <w:color w:val="auto"/>
          <w:sz w:val="24"/>
          <w:szCs w:val="24"/>
          <w:highlight w:val="none"/>
        </w:rPr>
        <w:t xml:space="preserve">供应商情况表</w:t>
      </w:r>
      <w:bookmarkEnd w:id="26"/>
      <w:r/>
      <w:bookmarkEnd w:id="27"/>
      <w:r/>
      <w:bookmarkEnd w:id="28"/>
      <w:r/>
      <w:bookmarkEnd w:id="29"/>
      <w:r/>
      <w:bookmarkEnd w:id="30"/>
      <w:r/>
      <w:r/>
    </w:p>
    <w:p>
      <w:pPr>
        <w:jc w:val="center"/>
        <w:rPr>
          <w:color w:val="auto"/>
          <w:highlight w:val="none"/>
        </w:rPr>
      </w:pPr>
      <w:r>
        <w:rPr>
          <w:rFonts w:hint="eastAsia"/>
          <w:color w:val="auto"/>
          <w:highlight w:val="none"/>
        </w:rPr>
        <w:t xml:space="preserve">供应商情况表</w:t>
      </w:r>
      <w:r/>
    </w:p>
    <w:p>
      <w:pPr>
        <w:spacing w:line="300" w:lineRule="auto"/>
        <w:rPr>
          <w:rFonts w:ascii="宋体" w:hAnsi="宋体"/>
          <w:color w:val="auto"/>
          <w:szCs w:val="21"/>
          <w:highlight w:val="none"/>
        </w:rPr>
      </w:pPr>
      <w:r>
        <w:rPr>
          <w:rFonts w:ascii="宋体" w:hAnsi="宋体"/>
          <w:color w:val="auto"/>
          <w:szCs w:val="21"/>
          <w:highlight w:val="none"/>
        </w:rPr>
        <w:t xml:space="preserve">单位名称（加盖公章）：</w:t>
      </w:r>
      <w:r/>
    </w:p>
    <w:tbl>
      <w:tblPr>
        <w:tblStyle w:val="741"/>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743"/>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743"/>
              <w:ind w:firstLine="0"/>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gridSpan w:val="3"/>
            <w:tcBorders>
              <w:left w:val="single" w:color="auto" w:sz="4" w:space="0"/>
            </w:tcBorders>
            <w:tcW w:w="2773" w:type="dxa"/>
            <w:vAlign w:val="center"/>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联系人电话（手机）</w:t>
            </w:r>
            <w:r/>
          </w:p>
        </w:tc>
        <w:tc>
          <w:tcPr>
            <w:gridSpan w:val="3"/>
            <w:tcBorders>
              <w:left w:val="single" w:color="auto" w:sz="4" w:space="0"/>
            </w:tcBorders>
            <w:tcW w:w="3542" w:type="dxa"/>
            <w:vAlign w:val="center"/>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743"/>
              <w:ind w:firstLine="0"/>
              <w:jc w:val="both"/>
              <w:spacing w:line="300" w:lineRule="auto"/>
              <w:rPr>
                <w:rFonts w:ascii="宋体" w:hAnsi="宋体" w:eastAsia="宋体"/>
                <w:b/>
                <w:color w:val="auto"/>
                <w:sz w:val="18"/>
                <w:szCs w:val="18"/>
                <w:highlight w:val="none"/>
              </w:rPr>
            </w:pPr>
            <w:r>
              <w:rPr>
                <w:rFonts w:hint="eastAsia" w:ascii="宋体" w:hAnsi="宋体" w:eastAsia="宋体"/>
                <w:b/>
                <w:color w:val="auto"/>
                <w:sz w:val="18"/>
                <w:szCs w:val="18"/>
                <w:highlight w:val="none"/>
              </w:rPr>
              <w:t xml:space="preserve">（必填，涉及澄清、解释等的书面形式沟通）</w:t>
            </w:r>
            <w:r/>
          </w:p>
        </w:tc>
      </w:tr>
      <w:tr>
        <w:trPr>
          <w:jc w:val="center"/>
          <w:trHeight w:val="645"/>
        </w:trPr>
        <w:tc>
          <w:tcPr>
            <w:tcW w:w="650"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743"/>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2024</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645"/>
        </w:trPr>
        <w:tc>
          <w:tcPr>
            <w:tcW w:w="650"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w:t>
            </w:r>
            <w:r/>
          </w:p>
        </w:tc>
        <w:tc>
          <w:tcPr>
            <w:tcBorders>
              <w:right w:val="single" w:color="auto" w:sz="4" w:space="0"/>
            </w:tcBorders>
            <w:tcW w:w="1088" w:type="dxa"/>
            <w:vAlign w:val="center"/>
            <w:textDirection w:val="lrTb"/>
            <w:noWrap w:val="false"/>
          </w:tcPr>
          <w:p>
            <w:pPr>
              <w:rPr>
                <w:color w:val="auto"/>
                <w:highlight w:val="none"/>
              </w:rPr>
            </w:pPr>
            <w:r>
              <w:rPr>
                <w:rFonts w:hint="eastAsia"/>
                <w:color w:val="auto"/>
                <w:highlight w:val="none"/>
              </w:rPr>
              <w:t xml:space="preserve">企业规模</w:t>
            </w:r>
            <w:r/>
          </w:p>
        </w:tc>
        <w:tc>
          <w:tcPr>
            <w:gridSpan w:val="8"/>
            <w:tcBorders>
              <w:left w:val="single" w:color="auto" w:sz="4" w:space="0"/>
            </w:tcBorders>
            <w:tcW w:w="7604" w:type="dxa"/>
            <w:vAlign w:val="center"/>
            <w:textDirection w:val="lrTb"/>
            <w:noWrap w:val="false"/>
          </w:tcPr>
          <w:p>
            <w:pPr>
              <w:ind w:firstLine="1050"/>
              <w:rPr>
                <w:rFonts w:ascii="宋体" w:hAnsi="宋体"/>
                <w:color w:val="auto"/>
                <w:szCs w:val="21"/>
                <w:highlight w:val="none"/>
              </w:rPr>
            </w:pPr>
            <w:r>
              <w:rPr>
                <w:rFonts w:hint="eastAsia"/>
                <w:color w:val="auto"/>
                <w:highlight w:val="none"/>
              </w:rPr>
              <w:t xml:space="preserve">□大型 </w:t>
            </w:r>
            <w:r>
              <w:rPr>
                <w:color w:val="auto"/>
                <w:highlight w:val="none"/>
              </w:rPr>
              <w:t xml:space="preserve">      </w:t>
            </w:r>
            <w:r>
              <w:rPr>
                <w:rFonts w:hint="eastAsia"/>
                <w:color w:val="auto"/>
                <w:highlight w:val="none"/>
              </w:rPr>
              <w:t xml:space="preserve">□中型 </w:t>
            </w:r>
            <w:r>
              <w:rPr>
                <w:color w:val="auto"/>
                <w:highlight w:val="none"/>
              </w:rPr>
              <w:t xml:space="preserve">      </w:t>
            </w:r>
            <w:r>
              <w:rPr>
                <w:rFonts w:hint="eastAsia"/>
                <w:color w:val="auto"/>
                <w:highlight w:val="none"/>
              </w:rPr>
              <w:t xml:space="preserve">□小型 </w:t>
            </w:r>
            <w:r>
              <w:rPr>
                <w:color w:val="auto"/>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 xml:space="preserve">□微型</w:t>
            </w:r>
            <w:r/>
          </w:p>
        </w:tc>
      </w:tr>
      <w:tr>
        <w:trPr>
          <w:jc w:val="center"/>
          <w:trHeight w:val="1767"/>
        </w:trPr>
        <w:tc>
          <w:tcPr>
            <w:tcW w:w="650"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9"/>
            <w:tcW w:w="8692" w:type="dxa"/>
            <w:vAlign w:val="center"/>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1、_____________________________________</w:t>
            </w:r>
            <w:r/>
          </w:p>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2、_____________________________________</w:t>
            </w:r>
            <w:r/>
          </w:p>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b/>
                <w:bCs/>
                <w:color w:val="auto"/>
                <w:sz w:val="21"/>
                <w:szCs w:val="21"/>
                <w:highlight w:val="none"/>
              </w:rPr>
              <w:t xml:space="preserve">_____________________________________</w:t>
            </w:r>
            <w:r/>
          </w:p>
        </w:tc>
      </w:tr>
      <w:tr>
        <w:trPr>
          <w:jc w:val="center"/>
          <w:trHeight w:val="1548"/>
        </w:trPr>
        <w:tc>
          <w:tcPr>
            <w:tcW w:w="650"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3"/>
            <w:tcW w:w="2445" w:type="dxa"/>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743"/>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11</w:t>
            </w:r>
            <w:r/>
          </w:p>
        </w:tc>
        <w:tc>
          <w:tcPr>
            <w:gridSpan w:val="9"/>
            <w:tcW w:w="8692" w:type="dxa"/>
            <w:vAlign w:val="center"/>
            <w:textDirection w:val="lrTb"/>
            <w:noWrap w:val="false"/>
          </w:tcPr>
          <w:p>
            <w:pPr>
              <w:pStyle w:val="743"/>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pStyle w:val="1123"/>
        <w:spacing w:line="360" w:lineRule="auto"/>
        <w:rPr>
          <w:rFonts w:hAnsi="宋体" w:eastAsia="宋体"/>
          <w:b/>
          <w:color w:val="auto"/>
          <w:sz w:val="21"/>
          <w:szCs w:val="21"/>
          <w:highlight w:val="none"/>
        </w:rPr>
      </w:pPr>
      <w:r>
        <w:rPr>
          <w:rFonts w:hAnsi="宋体" w:eastAsia="宋体"/>
          <w:b/>
          <w:color w:val="auto"/>
          <w:sz w:val="21"/>
          <w:szCs w:val="21"/>
          <w:highlight w:val="none"/>
        </w:rPr>
        <w:t xml:space="preserve">注：企业规模的企业划型标准请根据《中小企业划型标准规定》（工信部联企业〔2011〕300号）。</w:t>
      </w:r>
      <w:bookmarkEnd w:id="31"/>
      <w:r/>
      <w:r/>
    </w:p>
    <w:p>
      <w:pPr>
        <w:rPr>
          <w:color w:val="auto"/>
          <w:highlight w:val="none"/>
        </w:rPr>
      </w:pPr>
      <w:r/>
      <w:bookmarkStart w:id="32" w:name="_Ref507166820"/>
      <w:r/>
      <w:bookmarkStart w:id="33" w:name="_Toc519686651"/>
      <w:r/>
      <w:bookmarkStart w:id="34" w:name="_Ref15302737"/>
      <w:r/>
      <w:bookmarkStart w:id="35" w:name="_Ref376770270"/>
      <w:r/>
      <w:bookmarkStart w:id="36" w:name="_Toc500143977"/>
      <w:r/>
      <w:bookmarkStart w:id="37" w:name="_Ref477865930"/>
      <w:r/>
      <w:r/>
    </w:p>
    <w:p>
      <w:pPr>
        <w:pStyle w:val="732"/>
        <w:rPr>
          <w:rFonts w:ascii="宋体" w:hAnsi="宋体" w:eastAsia="宋体"/>
          <w:color w:val="auto"/>
          <w:sz w:val="24"/>
          <w:szCs w:val="24"/>
          <w:highlight w:val="none"/>
        </w:rPr>
      </w:pPr>
      <w:r/>
      <w:bookmarkStart w:id="38" w:name="_Ref33617519"/>
      <w:r/>
      <w:bookmarkStart w:id="39" w:name="_Toc130478802"/>
      <w:r/>
      <w:bookmarkStart w:id="40" w:name="_Toc166487076"/>
      <w:r/>
      <w:bookmarkStart w:id="41" w:name="_Toc166488926"/>
      <w:r/>
      <w:bookmarkStart w:id="42" w:name="_Toc98785117"/>
      <w:r>
        <w:rPr>
          <w:rFonts w:ascii="宋体" w:hAnsi="宋体" w:eastAsia="宋体"/>
          <w:color w:val="auto"/>
          <w:sz w:val="24"/>
          <w:szCs w:val="24"/>
          <w:highlight w:val="none"/>
        </w:rPr>
        <w:t xml:space="preserve">附件2：</w:t>
      </w:r>
      <w:bookmarkEnd w:id="32"/>
      <w:r/>
      <w:bookmarkEnd w:id="33"/>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承诺</w:t>
      </w:r>
      <w:r>
        <w:rPr>
          <w:rFonts w:ascii="宋体" w:hAnsi="宋体" w:eastAsia="宋体"/>
          <w:color w:val="auto"/>
          <w:sz w:val="24"/>
          <w:szCs w:val="24"/>
          <w:highlight w:val="none"/>
        </w:rPr>
        <w:t xml:space="preserve">函</w:t>
      </w:r>
      <w:bookmarkEnd w:id="34"/>
      <w:r/>
      <w:bookmarkEnd w:id="38"/>
      <w:r/>
      <w:bookmarkEnd w:id="39"/>
      <w:r/>
      <w:bookmarkEnd w:id="40"/>
      <w:r/>
      <w:bookmarkEnd w:id="41"/>
      <w:r/>
      <w:bookmarkEnd w:id="42"/>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响应承诺</w:t>
      </w:r>
      <w:r>
        <w:rPr>
          <w:rFonts w:ascii="宋体" w:hAnsi="宋体"/>
          <w:color w:val="auto"/>
          <w:szCs w:val="21"/>
          <w:highlight w:val="none"/>
        </w:rPr>
        <w:t xml:space="preserve">函</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致：</w:t>
      </w:r>
      <w:r>
        <w:rPr>
          <w:rFonts w:hint="eastAsia"/>
          <w:iCs/>
          <w:color w:val="auto"/>
          <w:highlight w:val="none"/>
          <w:u w:val="single"/>
        </w:rPr>
        <w:t xml:space="preserve">（采购人名称）</w:t>
      </w:r>
      <w:r>
        <w:rPr>
          <w:rFonts w:hint="eastAsia"/>
          <w:iCs/>
          <w:color w:val="auto"/>
          <w:highlight w:val="none"/>
        </w:rPr>
        <w:t xml:space="preserve">、</w:t>
      </w:r>
      <w:r>
        <w:rPr>
          <w:rFonts w:ascii="宋体" w:hAnsi="宋体"/>
          <w:color w:val="auto"/>
          <w:szCs w:val="21"/>
          <w:highlight w:val="none"/>
        </w:rPr>
        <w:t xml:space="preserve">苏州宇恩项目咨询有限公司：</w:t>
      </w:r>
      <w:r/>
    </w:p>
    <w:p>
      <w:pPr>
        <w:ind w:firstLine="420"/>
        <w:spacing w:line="360" w:lineRule="auto"/>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w:t>
      </w:r>
      <w:r>
        <w:rPr>
          <w:rFonts w:hint="eastAsia" w:ascii="宋体" w:hAnsi="宋体"/>
          <w:color w:val="auto"/>
          <w:highlight w:val="none"/>
        </w:rPr>
        <w:t xml:space="preserve">自愿参加_</w:t>
      </w:r>
      <w:r>
        <w:rPr>
          <w:rFonts w:hint="eastAsia"/>
          <w:iCs/>
          <w:color w:val="auto"/>
          <w:highlight w:val="none"/>
          <w:u w:val="single"/>
        </w:rPr>
        <w:t xml:space="preserve">（项目名称及项目编号）</w:t>
      </w:r>
      <w:r>
        <w:rPr>
          <w:rFonts w:hint="eastAsia" w:ascii="宋体" w:hAnsi="宋体"/>
          <w:color w:val="auto"/>
          <w:highlight w:val="none"/>
        </w:rPr>
        <w:t xml:space="preserve">的采购活动，并做出如下承诺：</w:t>
      </w:r>
      <w:r/>
    </w:p>
    <w:p>
      <w:pPr>
        <w:ind w:firstLine="420"/>
        <w:spacing w:line="360" w:lineRule="auto"/>
        <w:rPr>
          <w:rFonts w:ascii="宋体" w:hAnsi="宋体"/>
          <w:color w:val="auto"/>
          <w:highlight w:val="none"/>
        </w:rPr>
      </w:pPr>
      <w:r>
        <w:rPr>
          <w:rFonts w:ascii="宋体" w:hAnsi="宋体"/>
          <w:color w:val="auto"/>
          <w:highlight w:val="none"/>
        </w:rPr>
        <w:t xml:space="preserve">1</w:t>
      </w:r>
      <w:r>
        <w:rPr>
          <w:rFonts w:hint="eastAsia" w:ascii="宋体" w:hAnsi="宋体"/>
          <w:color w:val="auto"/>
          <w:highlight w:val="none"/>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ind w:firstLine="420"/>
        <w:spacing w:line="360" w:lineRule="auto"/>
        <w:rPr>
          <w:rFonts w:ascii="宋体" w:hAnsi="宋体"/>
          <w:color w:val="auto"/>
          <w:highlight w:val="none"/>
        </w:rPr>
      </w:pPr>
      <w:r>
        <w:rPr>
          <w:rFonts w:ascii="宋体" w:hAnsi="宋体"/>
          <w:color w:val="auto"/>
          <w:highlight w:val="none"/>
        </w:rPr>
        <w:t xml:space="preserve">2</w:t>
      </w:r>
      <w:r>
        <w:rPr>
          <w:rFonts w:hint="eastAsia" w:ascii="宋体" w:hAnsi="宋体"/>
          <w:color w:val="auto"/>
          <w:highlight w:val="none"/>
        </w:rPr>
        <w:t xml:space="preserve">、如果我们的谈判响应文件被接受，我们将严格履行采购文件中规定的每一项要求，按期、按质、按量履行合同的义务。</w:t>
      </w:r>
      <w:r/>
    </w:p>
    <w:p>
      <w:pPr>
        <w:ind w:firstLine="420"/>
        <w:spacing w:line="360" w:lineRule="auto"/>
        <w:rPr>
          <w:rFonts w:ascii="宋体" w:hAnsi="宋体"/>
          <w:color w:val="auto"/>
          <w:highlight w:val="none"/>
        </w:rPr>
      </w:pPr>
      <w:r>
        <w:rPr>
          <w:rFonts w:ascii="宋体" w:hAnsi="宋体"/>
          <w:color w:val="auto"/>
          <w:highlight w:val="none"/>
        </w:rPr>
        <w:t xml:space="preserve">3</w:t>
      </w:r>
      <w:r>
        <w:rPr>
          <w:rFonts w:hint="eastAsia" w:ascii="宋体" w:hAnsi="宋体"/>
          <w:color w:val="auto"/>
          <w:highlight w:val="none"/>
        </w:rPr>
        <w:t xml:space="preserve">、我们已</w:t>
      </w:r>
      <w:r>
        <w:rPr>
          <w:rFonts w:ascii="宋体" w:hAnsi="宋体"/>
          <w:color w:val="auto"/>
          <w:highlight w:val="none"/>
        </w:rPr>
        <w:t xml:space="preserve">详细审查全部</w:t>
      </w:r>
      <w:r>
        <w:rPr>
          <w:rFonts w:hint="eastAsia" w:ascii="宋体" w:hAnsi="宋体"/>
          <w:color w:val="auto"/>
          <w:highlight w:val="none"/>
        </w:rPr>
        <w:t xml:space="preserve">采购</w:t>
      </w:r>
      <w:r>
        <w:rPr>
          <w:rFonts w:ascii="宋体" w:hAnsi="宋体"/>
          <w:color w:val="auto"/>
          <w:highlight w:val="none"/>
        </w:rPr>
        <w:t xml:space="preserve">文件，包括</w:t>
      </w:r>
      <w:r>
        <w:rPr>
          <w:rFonts w:hint="eastAsia" w:ascii="宋体" w:hAnsi="宋体"/>
          <w:color w:val="auto"/>
          <w:highlight w:val="none"/>
        </w:rPr>
        <w:t xml:space="preserve">补充文件</w:t>
      </w:r>
      <w:r>
        <w:rPr>
          <w:rFonts w:ascii="宋体" w:hAnsi="宋体"/>
          <w:color w:val="auto"/>
          <w:highlight w:val="none"/>
        </w:rPr>
        <w:t xml:space="preserve">(如果有的话)。我们完全理解并同意放弃对这方面有不明及误解的权力。</w:t>
      </w:r>
      <w:r/>
    </w:p>
    <w:p>
      <w:pPr>
        <w:ind w:firstLine="420"/>
        <w:spacing w:line="360" w:lineRule="auto"/>
        <w:rPr>
          <w:rFonts w:hint="eastAsia" w:ascii="宋体" w:hAnsi="宋体" w:eastAsia="宋体"/>
          <w:color w:val="auto"/>
          <w:highlight w:val="none"/>
          <w:lang w:eastAsia="zh-CN"/>
        </w:rPr>
      </w:pPr>
      <w:r>
        <w:rPr>
          <w:rFonts w:hint="eastAsia" w:ascii="宋体" w:hAnsi="宋体"/>
          <w:color w:val="auto"/>
          <w:highlight w:val="none"/>
        </w:rPr>
        <w:t xml:space="preserve">4、我们响应招标文件中要求的投标有效期</w:t>
      </w:r>
      <w:r>
        <w:rPr>
          <w:rFonts w:hint="eastAsia" w:ascii="宋体" w:hAnsi="宋体"/>
          <w:color w:val="auto"/>
          <w:highlight w:val="none"/>
          <w:lang w:eastAsia="zh-CN"/>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5、我们愿意提供谈判采购单位在采购文件中要求的所有资料。</w:t>
      </w:r>
      <w:r/>
    </w:p>
    <w:p>
      <w:pPr>
        <w:ind w:firstLine="420"/>
        <w:spacing w:line="360" w:lineRule="auto"/>
        <w:rPr>
          <w:rFonts w:ascii="宋体" w:hAnsi="宋体"/>
          <w:color w:val="auto"/>
          <w:highlight w:val="none"/>
        </w:rPr>
      </w:pPr>
      <w:r>
        <w:rPr>
          <w:rFonts w:hint="eastAsia" w:ascii="宋体" w:hAnsi="宋体"/>
          <w:color w:val="auto"/>
          <w:highlight w:val="none"/>
        </w:rPr>
        <w:t xml:space="preserve">6、我们认为你们有权决定成交单位，还认为你们有权接受或拒绝所有的谈判供应商。</w:t>
      </w:r>
      <w:r/>
    </w:p>
    <w:p>
      <w:pPr>
        <w:ind w:firstLine="420"/>
        <w:spacing w:line="360" w:lineRule="auto"/>
        <w:rPr>
          <w:rFonts w:ascii="宋体" w:hAnsi="宋体"/>
          <w:color w:val="auto"/>
          <w:highlight w:val="none"/>
        </w:rPr>
      </w:pPr>
      <w:r>
        <w:rPr>
          <w:rFonts w:hint="eastAsia" w:ascii="宋体" w:hAnsi="宋体"/>
          <w:color w:val="auto"/>
          <w:highlight w:val="none"/>
        </w:rPr>
        <w:t xml:space="preserve">7、我们愿意遵守采购文件中所列的收费标准。</w:t>
      </w:r>
      <w:r/>
    </w:p>
    <w:p>
      <w:pPr>
        <w:ind w:firstLine="420"/>
        <w:spacing w:line="360" w:lineRule="auto"/>
        <w:rPr>
          <w:rFonts w:ascii="宋体" w:hAnsi="宋体"/>
          <w:color w:val="auto"/>
          <w:highlight w:val="none"/>
        </w:rPr>
      </w:pPr>
      <w:r>
        <w:rPr>
          <w:rFonts w:hint="eastAsia" w:ascii="宋体" w:hAnsi="宋体"/>
          <w:color w:val="auto"/>
          <w:highlight w:val="none"/>
        </w:rPr>
        <w:t xml:space="preserve">8、我们承诺该谈判响应文件在谈判开始后的全过程中保持有效，不作任何更改和变动。</w:t>
      </w:r>
      <w:r/>
    </w:p>
    <w:p>
      <w:pPr>
        <w:ind w:firstLine="420"/>
        <w:spacing w:line="360" w:lineRule="auto"/>
        <w:rPr>
          <w:rFonts w:ascii="宋体" w:hAnsi="宋体"/>
          <w:color w:val="auto"/>
          <w:highlight w:val="none"/>
        </w:rPr>
      </w:pPr>
      <w:r>
        <w:rPr>
          <w:rFonts w:hint="eastAsia" w:ascii="宋体" w:hAnsi="宋体"/>
          <w:color w:val="auto"/>
          <w:highlight w:val="none"/>
        </w:rPr>
        <w:t xml:space="preserve">9、我们愿意按采购文件的规定交纳谈判保证金，并</w:t>
      </w:r>
      <w:r>
        <w:rPr>
          <w:rFonts w:ascii="宋体" w:hAnsi="宋体"/>
          <w:color w:val="auto"/>
          <w:highlight w:val="none"/>
        </w:rPr>
        <w:t xml:space="preserve">同意</w:t>
      </w:r>
      <w:r>
        <w:rPr>
          <w:rFonts w:hint="eastAsia" w:ascii="宋体" w:hAnsi="宋体"/>
          <w:color w:val="auto"/>
          <w:highlight w:val="none"/>
        </w:rPr>
        <w:t xml:space="preserve">谈判供应商</w:t>
      </w:r>
      <w:r>
        <w:rPr>
          <w:rFonts w:ascii="宋体" w:hAnsi="宋体"/>
          <w:color w:val="auto"/>
          <w:highlight w:val="none"/>
        </w:rPr>
        <w:t xml:space="preserve">须知中关于没收</w:t>
      </w:r>
      <w:r>
        <w:rPr>
          <w:rFonts w:hint="eastAsia" w:ascii="宋体" w:hAnsi="宋体"/>
          <w:color w:val="auto"/>
          <w:highlight w:val="none"/>
        </w:rPr>
        <w:t xml:space="preserve">谈判</w:t>
      </w:r>
      <w:r>
        <w:rPr>
          <w:rFonts w:ascii="宋体" w:hAnsi="宋体"/>
          <w:color w:val="auto"/>
          <w:highlight w:val="none"/>
        </w:rPr>
        <w:t xml:space="preserve">保证金的规定。</w:t>
      </w:r>
      <w:r/>
    </w:p>
    <w:p>
      <w:pPr>
        <w:ind w:firstLine="420"/>
        <w:spacing w:line="360" w:lineRule="auto"/>
        <w:rPr>
          <w:rFonts w:ascii="宋体" w:hAnsi="宋体"/>
          <w:color w:val="auto"/>
          <w:highlight w:val="none"/>
        </w:rPr>
      </w:pPr>
      <w:r>
        <w:rPr>
          <w:rFonts w:hint="eastAsia" w:ascii="宋体" w:hAnsi="宋体"/>
          <w:color w:val="auto"/>
          <w:highlight w:val="none"/>
        </w:rPr>
        <w:t xml:space="preserve">10、如果我们成交，我们愿意按采购文件的规定支付成交服务费，并提供一正一副书面投标文件供项目归档使用。</w:t>
      </w:r>
      <w:r/>
    </w:p>
    <w:p>
      <w:pPr>
        <w:ind w:firstLine="420"/>
        <w:spacing w:line="360" w:lineRule="auto"/>
        <w:rPr>
          <w:rFonts w:ascii="宋体" w:hAnsi="宋体"/>
          <w:color w:val="auto"/>
          <w:highlight w:val="none"/>
        </w:rPr>
      </w:pPr>
      <w:r>
        <w:rPr>
          <w:rFonts w:hint="eastAsia" w:ascii="宋体" w:hAnsi="宋体"/>
          <w:color w:val="auto"/>
          <w:highlight w:val="none"/>
        </w:rPr>
        <w:t xml:space="preserve">11、综合说明：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1</w:t>
      </w:r>
      <w:r>
        <w:rPr>
          <w:rFonts w:hint="eastAsia" w:ascii="宋体" w:hAnsi="宋体"/>
          <w:color w:val="auto"/>
          <w:highlight w:val="none"/>
        </w:rPr>
        <w:t xml:space="preserve">）伴随服务及配合措施；</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2</w:t>
      </w:r>
      <w:r>
        <w:rPr>
          <w:rFonts w:hint="eastAsia" w:ascii="宋体" w:hAnsi="宋体"/>
          <w:color w:val="auto"/>
          <w:highlight w:val="none"/>
        </w:rPr>
        <w:t xml:space="preserve">）要求甲方提供的配合；</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3</w:t>
      </w:r>
      <w:r>
        <w:rPr>
          <w:rFonts w:hint="eastAsia" w:ascii="宋体" w:hAnsi="宋体"/>
          <w:color w:val="auto"/>
          <w:highlight w:val="none"/>
        </w:rPr>
        <w:t xml:space="preserve">）对采购文件有不同意见的偏离说明；</w:t>
      </w:r>
      <w:r/>
    </w:p>
    <w:p>
      <w:pPr>
        <w:ind w:firstLine="420"/>
        <w:spacing w:line="360" w:lineRule="auto"/>
        <w:rPr>
          <w:rFonts w:ascii="宋体" w:hAnsi="宋体"/>
          <w:color w:val="auto"/>
          <w:highlight w:val="none"/>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）其它说明。</w:t>
      </w:r>
      <w:r/>
    </w:p>
    <w:p>
      <w:pPr>
        <w:ind w:firstLine="420"/>
        <w:spacing w:line="360" w:lineRule="auto"/>
        <w:rPr>
          <w:rFonts w:ascii="宋体" w:hAnsi="宋体"/>
          <w:color w:val="auto"/>
          <w:highlight w:val="none"/>
        </w:rPr>
      </w:pPr>
      <w:r>
        <w:rPr>
          <w:rFonts w:ascii="宋体" w:hAnsi="宋体"/>
          <w:color w:val="auto"/>
          <w:highlight w:val="none"/>
        </w:rPr>
        <w:t xml:space="preserve">12.</w:t>
      </w:r>
      <w:r>
        <w:rPr>
          <w:rFonts w:hint="eastAsia" w:ascii="宋体" w:hAnsi="宋体"/>
          <w:color w:val="auto"/>
          <w:highlight w:val="none"/>
        </w:rPr>
        <w:t xml:space="preserve"> 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恶意串通；</w:t>
      </w:r>
      <w:r/>
    </w:p>
    <w:p>
      <w:pPr>
        <w:ind w:firstLine="420"/>
        <w:spacing w:line="360" w:lineRule="auto"/>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其他违法违规情形。</w:t>
      </w:r>
      <w:r/>
    </w:p>
    <w:p>
      <w:pPr>
        <w:ind w:firstLine="420"/>
        <w:spacing w:line="360" w:lineRule="auto"/>
        <w:rPr>
          <w:rFonts w:hint="eastAsia" w:ascii="宋体" w:hAnsi="宋体"/>
          <w:color w:val="auto"/>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w:t>
      </w:r>
      <w:r>
        <w:rPr>
          <w:rFonts w:hint="eastAsia" w:ascii="宋体" w:hAnsi="宋体"/>
          <w:color w:val="auto"/>
          <w:highlight w:val="none"/>
        </w:rPr>
        <w:t xml:space="preserve">我方知晓上述行为的法律后果，并认可本承诺函作为采购人要求我方履行违约赔偿的依据。</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5775"/>
        <w:jc w:val="right"/>
        <w:spacing w:line="360" w:lineRule="auto"/>
        <w:rPr>
          <w:rFonts w:ascii="宋体" w:hAnsi="宋体"/>
          <w:color w:val="auto"/>
          <w:szCs w:val="21"/>
          <w:highlight w:val="none"/>
        </w:rPr>
      </w:pPr>
      <w:r>
        <w:rPr>
          <w:rFonts w:hint="eastAsia" w:ascii="宋体" w:hAnsi="宋体"/>
          <w:color w:val="auto"/>
          <w:szCs w:val="21"/>
          <w:highlight w:val="none"/>
        </w:rPr>
        <w:t xml:space="preserve">供应商</w:t>
      </w:r>
      <w:r>
        <w:rPr>
          <w:rFonts w:ascii="宋体" w:hAnsi="宋体"/>
          <w:color w:val="auto"/>
          <w:szCs w:val="21"/>
          <w:highlight w:val="none"/>
        </w:rPr>
        <w:t xml:space="preserve">：（加盖</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ascii="宋体" w:hAnsi="宋体"/>
          <w:color w:val="auto"/>
          <w:szCs w:val="21"/>
          <w:highlight w:val="none"/>
        </w:rPr>
      </w:pPr>
      <w:r>
        <w:rPr>
          <w:rFonts w:ascii="宋体" w:hAnsi="宋体"/>
          <w:color w:val="auto"/>
          <w:szCs w:val="21"/>
          <w:highlight w:val="none"/>
        </w:rPr>
        <w:t xml:space="preserve">法定代表人或被授权人：（签字或盖章）</w:t>
      </w:r>
      <w:r/>
    </w:p>
    <w:p>
      <w:pPr>
        <w:ind w:firstLine="420"/>
        <w:jc w:val="right"/>
        <w:spacing w:line="360" w:lineRule="auto"/>
        <w:rPr>
          <w:rFonts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35"/>
      <w:r/>
      <w:bookmarkEnd w:id="36"/>
      <w:r/>
      <w:bookmarkEnd w:id="37"/>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43" w:name="_Toc130478803"/>
      <w:r/>
      <w:bookmarkStart w:id="44" w:name="_Ref33617527"/>
      <w:r/>
      <w:bookmarkStart w:id="45" w:name="_Toc98785119"/>
      <w:r>
        <w:rPr>
          <w:rFonts w:ascii="宋体" w:hAnsi="宋体"/>
          <w:color w:val="auto"/>
          <w:sz w:val="24"/>
          <w:highlight w:val="none"/>
        </w:rPr>
        <w:br w:type="page" w:clear="all"/>
      </w:r>
      <w:r/>
    </w:p>
    <w:p>
      <w:pPr>
        <w:pStyle w:val="732"/>
        <w:rPr>
          <w:rFonts w:ascii="宋体" w:hAnsi="宋体" w:eastAsia="宋体"/>
          <w:color w:val="auto"/>
          <w:sz w:val="24"/>
          <w:szCs w:val="24"/>
          <w:highlight w:val="none"/>
        </w:rPr>
      </w:pPr>
      <w:r/>
      <w:bookmarkStart w:id="46" w:name="_Toc166487077"/>
      <w:r/>
      <w:bookmarkStart w:id="47" w:name="_Toc166488927"/>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：中小企业声明函</w:t>
      </w:r>
      <w:bookmarkEnd w:id="43"/>
      <w:r/>
      <w:bookmarkEnd w:id="44"/>
      <w:r/>
      <w:bookmarkEnd w:id="45"/>
      <w:r/>
      <w:bookmarkEnd w:id="46"/>
      <w:r/>
      <w:bookmarkEnd w:id="47"/>
      <w:r/>
      <w:r/>
    </w:p>
    <w:p>
      <w:pPr>
        <w:ind w:right="-210"/>
        <w:jc w:val="center"/>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中小企业声明函</w:t>
      </w:r>
      <w:r/>
    </w:p>
    <w:p>
      <w:pPr>
        <w:rPr>
          <w:color w:val="auto"/>
          <w:highlight w:val="none"/>
        </w:rPr>
      </w:pPr>
      <w:r>
        <w:rPr>
          <w:color w:val="auto"/>
          <w:highlight w:val="none"/>
        </w:rPr>
      </w:r>
      <w:r/>
    </w:p>
    <w:p>
      <w:pPr>
        <w:pStyle w:val="1118"/>
        <w:spacing w:line="360" w:lineRule="auto"/>
        <w:rPr>
          <w:rFonts w:hint="default" w:hAnsi="宋体" w:eastAsia="宋体" w:cs="宋体"/>
          <w:color w:val="auto"/>
          <w:sz w:val="21"/>
          <w:szCs w:val="21"/>
          <w:highlight w:val="none"/>
          <w:lang w:val="zh-CN"/>
        </w:rPr>
      </w:pPr>
      <w:r>
        <w:rPr>
          <w:rFonts w:hAnsi="宋体" w:eastAsia="宋体" w:cs="宋体"/>
          <w:color w:val="auto"/>
          <w:sz w:val="21"/>
          <w:szCs w:val="21"/>
          <w:highlight w:val="none"/>
          <w:lang w:val="zh-CN"/>
        </w:rPr>
        <w:t xml:space="preserve">______________________：</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本公司（联合体）郑重声明，根据《政府采购促进中小企业发展管理办法》（财库[20</w:t>
      </w:r>
      <w:r>
        <w:rPr>
          <w:rFonts w:hint="default" w:ascii="宋体" w:hAnsi="宋体" w:eastAsia="宋体" w:cs="Times New Roman"/>
          <w:color w:val="auto"/>
          <w:sz w:val="21"/>
          <w:szCs w:val="21"/>
          <w:highlight w:val="none"/>
        </w:rPr>
        <w:t xml:space="preserve">20</w:t>
      </w:r>
      <w:r>
        <w:rPr>
          <w:rFonts w:hint="eastAsia" w:ascii="宋体" w:hAnsi="宋体" w:eastAsia="宋体" w:cs="Times New Roman"/>
          <w:color w:val="auto"/>
          <w:sz w:val="21"/>
          <w:szCs w:val="21"/>
          <w:highlight w:val="none"/>
        </w:rPr>
        <w:t xml:space="preserve">]</w:t>
      </w:r>
      <w:r>
        <w:rPr>
          <w:rFonts w:hint="default" w:ascii="宋体" w:hAnsi="宋体" w:eastAsia="宋体" w:cs="Times New Roman"/>
          <w:color w:val="auto"/>
          <w:sz w:val="21"/>
          <w:szCs w:val="21"/>
          <w:highlight w:val="none"/>
        </w:rPr>
        <w:t xml:space="preserve">46</w:t>
      </w:r>
      <w:r>
        <w:rPr>
          <w:rFonts w:hint="eastAsia" w:ascii="宋体" w:hAnsi="宋体" w:eastAsia="宋体" w:cs="Times New Roman"/>
          <w:color w:val="auto"/>
          <w:sz w:val="21"/>
          <w:szCs w:val="21"/>
          <w:highlight w:val="none"/>
        </w:rPr>
        <w:t xml:space="preserve">号）的规定，本公司参加</w:t>
      </w:r>
      <w:r>
        <w:rPr>
          <w:rFonts w:hint="eastAsia" w:ascii="宋体" w:hAnsi="宋体" w:eastAsia="宋体" w:cs="Times New Roman"/>
          <w:i/>
          <w:iCs/>
          <w:color w:val="auto"/>
          <w:sz w:val="21"/>
          <w:szCs w:val="21"/>
          <w:highlight w:val="none"/>
          <w:u w:val="single"/>
        </w:rPr>
        <w:t xml:space="preserve">（单位名称）</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i/>
          <w:iCs/>
          <w:color w:val="auto"/>
          <w:sz w:val="21"/>
          <w:szCs w:val="21"/>
          <w:highlight w:val="none"/>
          <w:u w:val="single"/>
        </w:rPr>
        <w:t xml:space="preserve">（项目名称）</w:t>
      </w:r>
      <w:r>
        <w:rPr>
          <w:rFonts w:hint="eastAsia" w:ascii="宋体" w:hAnsi="宋体" w:eastAsia="宋体" w:cs="Times New Roman"/>
          <w:color w:val="auto"/>
          <w:sz w:val="21"/>
          <w:szCs w:val="21"/>
          <w:highlight w:val="none"/>
        </w:rPr>
        <w:t xml:space="preserve">采购活动，提供的货物全部由符合政策要求的中小企业制造。相关企业（含联合体中的中小企业、签订分包意向协议的中小企业）的具体情况如下：</w:t>
      </w:r>
      <w:r>
        <w:rPr>
          <w:rFonts w:hint="default" w:ascii="宋体" w:hAnsi="宋体" w:eastAsia="宋体" w:cs="Times New Roman"/>
          <w:color w:val="auto"/>
          <w:sz w:val="21"/>
          <w:szCs w:val="21"/>
          <w:highlight w:val="none"/>
        </w:rPr>
        <w:t xml:space="preserve"> </w:t>
      </w:r>
      <w:r/>
    </w:p>
    <w:p>
      <w:pPr>
        <w:ind w:firstLine="420"/>
        <w:spacing w:line="360" w:lineRule="auto"/>
        <w:rPr>
          <w:rFonts w:hint="default" w:ascii="宋体" w:hAnsi="宋体" w:eastAsia="宋体" w:cs="Times New Roman"/>
          <w:color w:val="auto"/>
          <w:highlight w:val="none"/>
        </w:rPr>
      </w:pPr>
      <w:r>
        <w:rPr>
          <w:rFonts w:hint="default" w:ascii="宋体" w:hAnsi="宋体" w:eastAsia="宋体" w:cs="Times New Roman"/>
          <w:color w:val="auto"/>
          <w:szCs w:val="21"/>
          <w:highlight w:val="none"/>
        </w:rPr>
        <w:t xml:space="preserve">1.</w:t>
      </w:r>
      <w:r>
        <w:rPr>
          <w:rFonts w:hint="default" w:ascii="宋体" w:hAnsi="宋体" w:eastAsia="宋体" w:cs="Times New Roman"/>
          <w:i/>
          <w:iCs/>
          <w:color w:val="auto"/>
          <w:highlight w:val="none"/>
          <w:u w:val="single"/>
        </w:rPr>
        <w:t xml:space="preserve">（标的名称）</w:t>
      </w:r>
      <w:r>
        <w:rPr>
          <w:rFonts w:hint="default" w:ascii="宋体" w:hAnsi="宋体" w:eastAsia="宋体" w:cs="Times New Roman"/>
          <w:color w:val="auto"/>
          <w:highlight w:val="none"/>
        </w:rPr>
        <w:t xml:space="preserve">，属于</w:t>
      </w:r>
      <w:r>
        <w:rPr>
          <w:rFonts w:hint="default" w:ascii="宋体" w:hAnsi="宋体" w:eastAsia="宋体" w:cs="Times New Roman"/>
          <w:i/>
          <w:iCs/>
          <w:color w:val="auto"/>
          <w:highlight w:val="none"/>
          <w:u w:val="single"/>
        </w:rPr>
        <w:t xml:space="preserve">（</w:t>
      </w:r>
      <w:r>
        <w:rPr>
          <w:rFonts w:hint="eastAsia" w:ascii="宋体" w:hAnsi="宋体" w:eastAsia="宋体" w:cs="Times New Roman"/>
          <w:i/>
          <w:iCs/>
          <w:color w:val="auto"/>
          <w:highlight w:val="none"/>
          <w:u w:val="single"/>
        </w:rPr>
        <w:t xml:space="preserve">招标文件</w:t>
      </w:r>
      <w:r>
        <w:rPr>
          <w:rFonts w:hint="default" w:ascii="宋体" w:hAnsi="宋体" w:eastAsia="宋体" w:cs="Times New Roman"/>
          <w:i/>
          <w:iCs/>
          <w:color w:val="auto"/>
          <w:highlight w:val="none"/>
          <w:u w:val="single"/>
        </w:rPr>
        <w:t xml:space="preserve">中明确的所属行业）</w:t>
      </w:r>
      <w:r>
        <w:rPr>
          <w:rFonts w:hint="default" w:ascii="宋体" w:hAnsi="宋体" w:eastAsia="宋体" w:cs="Times New Roman"/>
          <w:i/>
          <w:iCs/>
          <w:color w:val="auto"/>
          <w:highlight w:val="none"/>
        </w:rPr>
        <w:t xml:space="preserve"> </w:t>
      </w:r>
      <w:r>
        <w:rPr>
          <w:rFonts w:hint="default" w:ascii="宋体" w:hAnsi="宋体" w:eastAsia="宋体" w:cs="Times New Roman"/>
          <w:color w:val="auto"/>
          <w:highlight w:val="none"/>
        </w:rPr>
        <w:t xml:space="preserve">行业；制造商为</w:t>
      </w:r>
      <w:r>
        <w:rPr>
          <w:rFonts w:hint="default" w:ascii="宋体" w:hAnsi="宋体" w:eastAsia="宋体" w:cs="Times New Roman"/>
          <w:i/>
          <w:iCs/>
          <w:color w:val="auto"/>
          <w:highlight w:val="none"/>
          <w:u w:val="single"/>
        </w:rPr>
        <w:t xml:space="preserve">（企业名称）</w:t>
      </w:r>
      <w:r>
        <w:rPr>
          <w:rFonts w:hint="default" w:ascii="宋体" w:hAnsi="宋体" w:eastAsia="宋体" w:cs="Times New Roman"/>
          <w:color w:val="auto"/>
          <w:highlight w:val="none"/>
        </w:rPr>
        <w:t xml:space="preserve">，从业人员</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人，营业收入为</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万元，资产总额为</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万元</w:t>
      </w:r>
      <w:r>
        <w:rPr>
          <w:rFonts w:hint="eastAsia" w:ascii="宋体" w:hAnsi="宋体" w:eastAsia="宋体" w:cs="Times New Roman"/>
          <w:color w:val="auto"/>
          <w:highlight w:val="none"/>
        </w:rPr>
        <w:t xml:space="preserve">，</w:t>
      </w:r>
      <w:r>
        <w:rPr>
          <w:rFonts w:hint="default" w:ascii="宋体" w:hAnsi="宋体" w:eastAsia="宋体" w:cs="Times New Roman"/>
          <w:color w:val="auto"/>
          <w:highlight w:val="none"/>
        </w:rPr>
        <w:t xml:space="preserve">属于</w:t>
      </w:r>
      <w:r>
        <w:rPr>
          <w:rFonts w:hint="default" w:ascii="宋体" w:hAnsi="宋体" w:eastAsia="宋体" w:cs="Times New Roman"/>
          <w:i/>
          <w:iCs/>
          <w:color w:val="auto"/>
          <w:highlight w:val="none"/>
          <w:u w:val="single"/>
        </w:rPr>
        <w:t xml:space="preserve">（中型企业、小 型企业、微型企业）</w:t>
      </w:r>
      <w:r>
        <w:rPr>
          <w:rFonts w:hint="default" w:ascii="宋体" w:hAnsi="宋体" w:eastAsia="宋体" w:cs="Times New Roman"/>
          <w:color w:val="auto"/>
          <w:highlight w:val="none"/>
        </w:rPr>
        <w:t xml:space="preserve">；</w:t>
      </w:r>
      <w:r/>
    </w:p>
    <w:p>
      <w:pPr>
        <w:ind w:firstLine="420"/>
        <w:spacing w:line="360" w:lineRule="auto"/>
        <w:rPr>
          <w:rFonts w:hint="default" w:ascii="宋体" w:hAnsi="宋体" w:eastAsia="宋体" w:cs="Times New Roman"/>
          <w:color w:val="auto"/>
          <w:highlight w:val="none"/>
        </w:rPr>
      </w:pPr>
      <w:r>
        <w:rPr>
          <w:rFonts w:hint="default" w:ascii="宋体" w:hAnsi="宋体" w:eastAsia="宋体" w:cs="Times New Roman"/>
          <w:color w:val="auto"/>
          <w:szCs w:val="21"/>
          <w:highlight w:val="none"/>
        </w:rPr>
        <w:t xml:space="preserve">2.</w:t>
      </w:r>
      <w:r>
        <w:rPr>
          <w:rFonts w:hint="default" w:ascii="宋体" w:hAnsi="宋体" w:eastAsia="宋体" w:cs="Times New Roman"/>
          <w:i/>
          <w:iCs/>
          <w:color w:val="auto"/>
          <w:highlight w:val="none"/>
          <w:u w:val="single"/>
        </w:rPr>
        <w:t xml:space="preserve">（标的名称）</w:t>
      </w:r>
      <w:r>
        <w:rPr>
          <w:rFonts w:hint="default" w:ascii="宋体" w:hAnsi="宋体" w:eastAsia="宋体" w:cs="Times New Roman"/>
          <w:color w:val="auto"/>
          <w:highlight w:val="none"/>
        </w:rPr>
        <w:t xml:space="preserve">，属于</w:t>
      </w:r>
      <w:r>
        <w:rPr>
          <w:rFonts w:hint="default" w:ascii="宋体" w:hAnsi="宋体" w:eastAsia="宋体" w:cs="Times New Roman"/>
          <w:i/>
          <w:iCs/>
          <w:color w:val="auto"/>
          <w:highlight w:val="none"/>
          <w:u w:val="single"/>
        </w:rPr>
        <w:t xml:space="preserve">（</w:t>
      </w:r>
      <w:r>
        <w:rPr>
          <w:rFonts w:hint="eastAsia" w:ascii="宋体" w:hAnsi="宋体" w:eastAsia="宋体" w:cs="Times New Roman"/>
          <w:i/>
          <w:iCs/>
          <w:color w:val="auto"/>
          <w:highlight w:val="none"/>
          <w:u w:val="single"/>
        </w:rPr>
        <w:t xml:space="preserve">招标文件</w:t>
      </w:r>
      <w:r>
        <w:rPr>
          <w:rFonts w:hint="default" w:ascii="宋体" w:hAnsi="宋体" w:eastAsia="宋体" w:cs="Times New Roman"/>
          <w:i/>
          <w:iCs/>
          <w:color w:val="auto"/>
          <w:highlight w:val="none"/>
          <w:u w:val="single"/>
        </w:rPr>
        <w:t xml:space="preserve">中明确的所属行业）</w:t>
      </w:r>
      <w:r>
        <w:rPr>
          <w:rFonts w:hint="default" w:ascii="宋体" w:hAnsi="宋体" w:eastAsia="宋体" w:cs="Times New Roman"/>
          <w:i/>
          <w:iCs/>
          <w:color w:val="auto"/>
          <w:highlight w:val="none"/>
        </w:rPr>
        <w:t xml:space="preserve"> </w:t>
      </w:r>
      <w:r>
        <w:rPr>
          <w:rFonts w:hint="default" w:ascii="宋体" w:hAnsi="宋体" w:eastAsia="宋体" w:cs="Times New Roman"/>
          <w:color w:val="auto"/>
          <w:highlight w:val="none"/>
        </w:rPr>
        <w:t xml:space="preserve">行业；制造商为</w:t>
      </w:r>
      <w:r>
        <w:rPr>
          <w:rFonts w:hint="default" w:ascii="宋体" w:hAnsi="宋体" w:eastAsia="宋体" w:cs="Times New Roman"/>
          <w:i/>
          <w:iCs/>
          <w:color w:val="auto"/>
          <w:highlight w:val="none"/>
          <w:u w:val="single"/>
        </w:rPr>
        <w:t xml:space="preserve">（企业名称）</w:t>
      </w:r>
      <w:r>
        <w:rPr>
          <w:rFonts w:hint="default" w:ascii="宋体" w:hAnsi="宋体" w:eastAsia="宋体" w:cs="Times New Roman"/>
          <w:color w:val="auto"/>
          <w:highlight w:val="none"/>
        </w:rPr>
        <w:t xml:space="preserve">，从业人员</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人，营业收入为</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万元，资产总额为</w:t>
      </w:r>
      <w:r>
        <w:rPr>
          <w:rFonts w:hint="default" w:ascii="宋体" w:hAnsi="宋体" w:eastAsia="宋体" w:cs="Times New Roman"/>
          <w:color w:val="auto"/>
          <w:highlight w:val="none"/>
          <w:u w:val="single"/>
        </w:rPr>
        <w:t xml:space="preserve">   </w:t>
      </w:r>
      <w:r>
        <w:rPr>
          <w:rFonts w:hint="default" w:ascii="宋体" w:hAnsi="宋体" w:eastAsia="宋体" w:cs="Times New Roman"/>
          <w:color w:val="auto"/>
          <w:highlight w:val="none"/>
        </w:rPr>
        <w:t xml:space="preserve">万元</w:t>
      </w:r>
      <w:r>
        <w:rPr>
          <w:rFonts w:hint="eastAsia" w:ascii="宋体" w:hAnsi="宋体" w:eastAsia="宋体" w:cs="Times New Roman"/>
          <w:color w:val="auto"/>
          <w:highlight w:val="none"/>
        </w:rPr>
        <w:t xml:space="preserve">，</w:t>
      </w:r>
      <w:r>
        <w:rPr>
          <w:rFonts w:hint="default" w:ascii="宋体" w:hAnsi="宋体" w:eastAsia="宋体" w:cs="Times New Roman"/>
          <w:color w:val="auto"/>
          <w:highlight w:val="none"/>
        </w:rPr>
        <w:t xml:space="preserve">属于</w:t>
      </w:r>
      <w:r>
        <w:rPr>
          <w:rFonts w:hint="default" w:ascii="宋体" w:hAnsi="宋体" w:eastAsia="宋体" w:cs="Times New Roman"/>
          <w:i/>
          <w:iCs/>
          <w:color w:val="auto"/>
          <w:highlight w:val="none"/>
          <w:u w:val="single"/>
        </w:rPr>
        <w:t xml:space="preserve">（中型企业、小 型企业、微型企业）</w:t>
      </w:r>
      <w:r>
        <w:rPr>
          <w:rFonts w:hint="default" w:ascii="宋体" w:hAnsi="宋体" w:eastAsia="宋体" w:cs="Times New Roman"/>
          <w:color w:val="auto"/>
          <w:highlight w:val="none"/>
        </w:rPr>
        <w:t xml:space="preserve">；</w:t>
      </w:r>
      <w:r/>
    </w:p>
    <w:p>
      <w:pPr>
        <w:ind w:firstLine="420"/>
        <w:spacing w:line="360" w:lineRule="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以上企业，不属于大企业的分支机构，不存在控股股东为大企业的情形，也不存在与大企业的负责人为同一人的情形。</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本企业对上述声明内容的真实性负责。如有虚假，将依法承担相应责任。</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w:t>
      </w:r>
      <w:r/>
    </w:p>
    <w:p>
      <w:pPr>
        <w:ind w:firstLine="42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default"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rPr>
        <w:t xml:space="preserve">从业人员、营业收入、资产总额填报上一年度数据，无上一年度数据的新成立企业可不填报。</w:t>
      </w:r>
      <w:r/>
    </w:p>
    <w:p>
      <w:pPr>
        <w:ind w:firstLine="420"/>
        <w:jc w:val="both"/>
        <w:spacing w:line="360" w:lineRule="auto"/>
        <w:widowControl w:val="off"/>
        <w:rPr>
          <w:rFonts w:hint="default" w:ascii="宋体" w:hAnsi="宋体" w:eastAsia="宋体" w:cs="Times New Roman"/>
          <w:bCs/>
          <w:color w:val="auto"/>
          <w:sz w:val="21"/>
          <w:szCs w:val="21"/>
          <w:highlight w:val="none"/>
        </w:rPr>
      </w:pPr>
      <w:r>
        <w:rPr>
          <w:rFonts w:hint="default" w:ascii="宋体" w:hAnsi="宋体" w:eastAsia="宋体" w:cs="Times New Roman"/>
          <w:bCs/>
          <w:color w:val="auto"/>
          <w:sz w:val="21"/>
          <w:szCs w:val="21"/>
          <w:highlight w:val="none"/>
        </w:rPr>
        <w:t xml:space="preserve">2.</w:t>
      </w:r>
      <w:r>
        <w:rPr>
          <w:rFonts w:hint="eastAsia" w:ascii="宋体" w:hAnsi="宋体" w:eastAsia="宋体" w:cs="Times New Roman"/>
          <w:bCs/>
          <w:color w:val="auto"/>
          <w:sz w:val="21"/>
          <w:szCs w:val="21"/>
          <w:highlight w:val="none"/>
        </w:rPr>
        <w:t xml:space="preserve">本次采购项目所属行业为</w:t>
      </w:r>
      <w:r>
        <w:rPr>
          <w:rFonts w:hint="eastAsia" w:ascii="宋体" w:hAnsi="宋体" w:eastAsia="宋体" w:cs="Times New Roman"/>
          <w:b/>
          <w:bCs/>
          <w:color w:val="auto"/>
          <w:sz w:val="21"/>
          <w:szCs w:val="21"/>
          <w:highlight w:val="none"/>
        </w:rPr>
        <w:t xml:space="preserve">工业</w:t>
      </w:r>
      <w:r>
        <w:rPr>
          <w:rFonts w:hint="eastAsia" w:ascii="宋体" w:hAnsi="宋体" w:eastAsia="宋体" w:cs="Times New Roman"/>
          <w:bCs/>
          <w:color w:val="auto"/>
          <w:sz w:val="21"/>
          <w:szCs w:val="21"/>
          <w:highlight w:val="none"/>
        </w:rPr>
        <w:t xml:space="preserve">，中小微企业划分标准请根据《中小企业划型标准规定》（工信部联企业﹝2</w:t>
      </w:r>
      <w:r>
        <w:rPr>
          <w:rFonts w:hint="default" w:ascii="宋体" w:hAnsi="宋体" w:eastAsia="宋体" w:cs="Times New Roman"/>
          <w:bCs/>
          <w:color w:val="auto"/>
          <w:sz w:val="21"/>
          <w:szCs w:val="21"/>
          <w:highlight w:val="none"/>
        </w:rPr>
        <w:t xml:space="preserve">011</w:t>
      </w:r>
      <w:r>
        <w:rPr>
          <w:rFonts w:hint="eastAsia" w:ascii="宋体" w:hAnsi="宋体" w:eastAsia="宋体" w:cs="Times New Roman"/>
          <w:bCs/>
          <w:color w:val="auto"/>
          <w:sz w:val="21"/>
          <w:szCs w:val="21"/>
          <w:highlight w:val="none"/>
        </w:rPr>
        <w:t xml:space="preserve">﹞</w:t>
      </w:r>
      <w:r>
        <w:rPr>
          <w:rFonts w:hint="default" w:ascii="宋体" w:hAnsi="宋体" w:eastAsia="宋体" w:cs="Times New Roman"/>
          <w:bCs/>
          <w:color w:val="auto"/>
          <w:sz w:val="21"/>
          <w:szCs w:val="21"/>
          <w:highlight w:val="none"/>
        </w:rPr>
        <w:t xml:space="preserve">300</w:t>
      </w:r>
      <w:r>
        <w:rPr>
          <w:rFonts w:hint="eastAsia" w:ascii="宋体" w:hAnsi="宋体" w:eastAsia="宋体" w:cs="Times New Roman"/>
          <w:bCs/>
          <w:color w:val="auto"/>
          <w:sz w:val="21"/>
          <w:szCs w:val="21"/>
          <w:highlight w:val="none"/>
        </w:rPr>
        <w:t xml:space="preserve">号文）。</w:t>
      </w:r>
      <w:r/>
    </w:p>
    <w:p>
      <w:pPr>
        <w:pStyle w:val="1123"/>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ascii="宋体" w:hAnsi="宋体"/>
          <w:color w:val="auto"/>
          <w:highlight w:val="none"/>
        </w:rPr>
      </w:pPr>
      <w:r>
        <w:rPr>
          <w:rFonts w:hint="eastAsia" w:ascii="宋体" w:hAnsi="宋体"/>
          <w:color w:val="auto"/>
          <w:highlight w:val="none"/>
        </w:rPr>
        <w:t xml:space="preserve">供应商</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48" w:name="_Toc98785120"/>
      <w:r/>
      <w:bookmarkStart w:id="49" w:name="_Ref33617531"/>
      <w:r/>
      <w:bookmarkStart w:id="50" w:name="_Toc130478804"/>
      <w:r>
        <w:rPr>
          <w:rFonts w:ascii="宋体" w:hAnsi="宋体"/>
          <w:color w:val="auto"/>
          <w:sz w:val="24"/>
          <w:highlight w:val="none"/>
        </w:rPr>
        <w:br w:type="page" w:clear="all"/>
      </w:r>
      <w:r>
        <w:rPr>
          <w:b/>
          <w:bCs/>
        </w:rPr>
      </w:r>
      <w:bookmarkStart w:id="51" w:name="_Toc166487078"/>
      <w:r>
        <w:rPr>
          <w:b/>
          <w:bCs/>
        </w:rPr>
      </w:r>
      <w:bookmarkStart w:id="52" w:name="_Toc166488928"/>
      <w:r>
        <w:rPr>
          <w:rFonts w:ascii="宋体" w:hAnsi="宋体" w:eastAsia="宋体"/>
          <w:b/>
          <w:bCs/>
          <w:color w:val="auto"/>
          <w:sz w:val="24"/>
          <w:szCs w:val="24"/>
          <w:highlight w:val="none"/>
        </w:rPr>
        <w:t xml:space="preserve">附件</w:t>
      </w:r>
      <w:r>
        <w:rPr>
          <w:rFonts w:hint="eastAsia" w:ascii="宋体" w:hAnsi="宋体" w:eastAsia="宋体"/>
          <w:b/>
          <w:bCs/>
          <w:color w:val="auto"/>
          <w:sz w:val="24"/>
          <w:szCs w:val="24"/>
          <w:highlight w:val="none"/>
        </w:rPr>
        <w:t xml:space="preserve">4</w:t>
      </w:r>
      <w:r>
        <w:rPr>
          <w:rFonts w:ascii="宋体" w:hAnsi="宋体" w:eastAsia="宋体"/>
          <w:b/>
          <w:bCs/>
          <w:color w:val="auto"/>
          <w:sz w:val="24"/>
          <w:szCs w:val="24"/>
          <w:highlight w:val="none"/>
        </w:rPr>
        <w:t xml:space="preserve">：残疾人福利性单位声明函</w:t>
      </w:r>
      <w:bookmarkEnd w:id="48"/>
      <w:r>
        <w:rPr>
          <w:b/>
          <w:bCs/>
        </w:rPr>
      </w:r>
      <w:bookmarkEnd w:id="49"/>
      <w:r>
        <w:rPr>
          <w:b/>
          <w:bCs/>
        </w:rPr>
      </w:r>
      <w:bookmarkEnd w:id="50"/>
      <w:r>
        <w:rPr>
          <w:b/>
          <w:bCs/>
        </w:rPr>
      </w:r>
      <w:bookmarkEnd w:id="51"/>
      <w:r>
        <w:rPr>
          <w:b/>
          <w:bCs/>
        </w:rPr>
      </w:r>
      <w:bookmarkEnd w:id="52"/>
      <w:r>
        <w:rPr>
          <w:rFonts w:ascii="宋体" w:hAnsi="宋体"/>
          <w:b/>
          <w:bCs/>
          <w:color w:val="auto"/>
          <w:sz w:val="24"/>
          <w:highlight w:val="none"/>
        </w:rPr>
      </w:r>
      <w:r/>
    </w:p>
    <w:p>
      <w:pPr>
        <w:pStyle w:val="1121"/>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r>
      <w:r>
        <w:rPr>
          <w:rFonts w:hint="eastAsia" w:hAnsi="宋体" w:eastAsia="宋体"/>
          <w:color w:val="auto"/>
          <w:sz w:val="21"/>
          <w:szCs w:val="21"/>
          <w:highlight w:val="none"/>
        </w:rPr>
      </w:r>
      <w:r/>
    </w:p>
    <w:p>
      <w:pPr>
        <w:pStyle w:val="1121"/>
        <w:jc w:val="center"/>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1121"/>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21"/>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1119"/>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jc w:val="right"/>
        <w:spacing w:line="360" w:lineRule="auto"/>
        <w:rPr>
          <w:color w:val="auto"/>
          <w:highlight w:val="none"/>
        </w:rPr>
      </w:pPr>
      <w:r>
        <w:rPr>
          <w:b/>
          <w:bCs/>
          <w:color w:val="auto"/>
          <w:szCs w:val="21"/>
          <w:highlight w:val="none"/>
        </w:rPr>
        <w:br w:type="page" w:clear="all"/>
      </w:r>
      <w:r/>
    </w:p>
    <w:p>
      <w:pPr>
        <w:pStyle w:val="732"/>
        <w:rPr>
          <w:rFonts w:ascii="宋体" w:hAnsi="宋体" w:eastAsia="宋体"/>
          <w:color w:val="auto"/>
          <w:sz w:val="24"/>
          <w:szCs w:val="24"/>
          <w:highlight w:val="none"/>
        </w:rPr>
      </w:pPr>
      <w:r/>
      <w:bookmarkStart w:id="53" w:name="_Ref33617535"/>
      <w:r/>
      <w:bookmarkStart w:id="54" w:name="_Toc130478805"/>
      <w:r/>
      <w:bookmarkStart w:id="55" w:name="_Toc98785121"/>
      <w:r/>
      <w:bookmarkStart w:id="56" w:name="_Toc166487079"/>
      <w:r/>
      <w:bookmarkStart w:id="57" w:name="_Toc166488929"/>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5</w:t>
      </w:r>
      <w:r>
        <w:rPr>
          <w:rFonts w:ascii="宋体" w:hAnsi="宋体" w:eastAsia="宋体"/>
          <w:color w:val="auto"/>
          <w:sz w:val="24"/>
          <w:szCs w:val="24"/>
          <w:highlight w:val="none"/>
        </w:rPr>
        <w:t xml:space="preserve">：法定代表人授权委托书:</w:t>
      </w:r>
      <w:bookmarkEnd w:id="53"/>
      <w:r/>
      <w:bookmarkEnd w:id="54"/>
      <w:r/>
      <w:bookmarkEnd w:id="55"/>
      <w:r/>
      <w:bookmarkEnd w:id="56"/>
      <w:r/>
      <w:bookmarkEnd w:id="57"/>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法定代表人授权委托书</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苏州宇恩项目咨询有限公司：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本授权委托书声明：我</w:t>
      </w:r>
      <w:r>
        <w:rPr>
          <w:rFonts w:hint="eastAsia" w:ascii="宋体" w:hAnsi="宋体"/>
          <w:color w:val="auto"/>
          <w:szCs w:val="21"/>
          <w:highlight w:val="none"/>
          <w:u w:val="single"/>
        </w:rPr>
        <w:t xml:space="preserve">（法定代表人姓名）</w:t>
      </w:r>
      <w:r>
        <w:rPr>
          <w:rFonts w:hint="eastAsia" w:ascii="宋体" w:hAnsi="宋体"/>
          <w:color w:val="auto"/>
          <w:szCs w:val="21"/>
          <w:highlight w:val="none"/>
        </w:rPr>
        <w:t xml:space="preserve">系</w:t>
      </w:r>
      <w:r>
        <w:rPr>
          <w:rFonts w:hint="eastAsia" w:ascii="宋体" w:hAnsi="宋体"/>
          <w:color w:val="auto"/>
          <w:szCs w:val="21"/>
          <w:highlight w:val="none"/>
          <w:u w:val="single"/>
        </w:rPr>
        <w:t xml:space="preserve">（公司名称）</w:t>
      </w:r>
      <w:r>
        <w:rPr>
          <w:rFonts w:hint="eastAsia" w:ascii="宋体" w:hAnsi="宋体"/>
          <w:color w:val="auto"/>
          <w:szCs w:val="21"/>
          <w:highlight w:val="none"/>
        </w:rPr>
        <w:t xml:space="preserve">的法定代表人，现授权委托</w:t>
      </w:r>
      <w:r>
        <w:rPr>
          <w:rFonts w:hint="eastAsia" w:ascii="宋体" w:hAnsi="宋体"/>
          <w:color w:val="auto"/>
          <w:szCs w:val="21"/>
          <w:highlight w:val="none"/>
          <w:u w:val="single"/>
        </w:rPr>
        <w:t xml:space="preserve">（代理人姓名）</w:t>
      </w:r>
      <w:r>
        <w:rPr>
          <w:rFonts w:hint="eastAsia" w:ascii="宋体" w:hAnsi="宋体"/>
          <w:color w:val="auto"/>
          <w:szCs w:val="21"/>
          <w:highlight w:val="none"/>
        </w:rPr>
        <w:t xml:space="preserve">代表我公司参加贵公司组织实施的项目编号为</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号的采购活动。代理人在开标、谈判、签约等过程中所签署的一切文件和处理与这有关的一切事务，我均予以承认。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本授权委托书自投标开始至合同履行完毕止。</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                            职务：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身份证号码：                        联系电话：</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代理人签字：                       法定代表人签字：</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center"/>
        <w:spacing w:line="360" w:lineRule="auto"/>
        <w:rPr>
          <w:color w:val="auto"/>
          <w:highlight w:val="none"/>
        </w:rPr>
      </w:pPr>
      <w:r>
        <w:rPr>
          <w:rFonts w:hint="eastAsia"/>
          <w:color w:val="auto"/>
          <w:highlight w:val="none"/>
        </w:rPr>
        <w:t xml:space="preserve">                                                        日期：  </w:t>
      </w:r>
      <w:r>
        <w:rPr>
          <w:color w:val="auto"/>
          <w:highlight w:val="none"/>
        </w:rPr>
        <w:t xml:space="preserve">年</w:t>
      </w:r>
      <w:r>
        <w:rPr>
          <w:rFonts w:hint="eastAsia"/>
          <w:color w:val="auto"/>
          <w:highlight w:val="none"/>
        </w:rPr>
        <w:t xml:space="preserve"> </w:t>
      </w:r>
      <w:r>
        <w:rPr>
          <w:color w:val="auto"/>
          <w:highlight w:val="none"/>
        </w:rPr>
        <w:t xml:space="preserve">月</w:t>
      </w:r>
      <w:r>
        <w:rPr>
          <w:rFonts w:hint="eastAsia"/>
          <w:color w:val="auto"/>
          <w:highlight w:val="none"/>
        </w:rPr>
        <w:t xml:space="preserve">  </w:t>
      </w:r>
      <w:r>
        <w:rPr>
          <w:color w:val="auto"/>
          <w:highlight w:val="none"/>
        </w:rPr>
        <w:t xml:space="preserve">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bookmarkStart w:id="58" w:name="_Toc519686653"/>
      <w:r/>
      <w:bookmarkStart w:id="59" w:name="_Ref376770274"/>
      <w:r/>
      <w:bookmarkStart w:id="60" w:name="_Toc500143978"/>
      <w:r/>
      <w:bookmarkStart w:id="61" w:name="_Toc130478806"/>
      <w:r/>
      <w:bookmarkStart w:id="62" w:name="_Ref15302750"/>
      <w:r/>
      <w:bookmarkStart w:id="63" w:name="_Toc98785122"/>
      <w:r>
        <w:rPr>
          <w:rFonts w:ascii="宋体" w:hAnsi="宋体"/>
          <w:color w:val="auto"/>
          <w:sz w:val="24"/>
          <w:highlight w:val="none"/>
        </w:rPr>
        <w:br w:type="page" w:clear="all"/>
      </w:r>
      <w:r/>
    </w:p>
    <w:p>
      <w:pPr>
        <w:pStyle w:val="732"/>
        <w:rPr>
          <w:rFonts w:ascii="宋体" w:hAnsi="宋体" w:eastAsia="宋体"/>
          <w:color w:val="auto"/>
          <w:sz w:val="24"/>
          <w:szCs w:val="24"/>
          <w:highlight w:val="none"/>
        </w:rPr>
      </w:pPr>
      <w:r/>
      <w:bookmarkStart w:id="64" w:name="_Toc166487080"/>
      <w:r/>
      <w:bookmarkStart w:id="65" w:name="_Toc166488930"/>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bookmarkEnd w:id="58"/>
      <w:r/>
      <w:bookmarkEnd w:id="59"/>
      <w:r/>
      <w:bookmarkEnd w:id="60"/>
      <w:r>
        <w:rPr>
          <w:rFonts w:ascii="宋体" w:hAnsi="宋体" w:eastAsia="宋体"/>
          <w:color w:val="auto"/>
          <w:sz w:val="24"/>
          <w:szCs w:val="24"/>
          <w:highlight w:val="none"/>
        </w:rPr>
        <w:t xml:space="preserve">开标一览表</w:t>
      </w:r>
      <w:bookmarkEnd w:id="61"/>
      <w:r/>
      <w:bookmarkEnd w:id="62"/>
      <w:r/>
      <w:bookmarkEnd w:id="63"/>
      <w:r/>
      <w:bookmarkEnd w:id="64"/>
      <w:r/>
      <w:bookmarkEnd w:id="65"/>
      <w:r/>
      <w:r/>
    </w:p>
    <w:p>
      <w:pPr>
        <w:jc w:val="center"/>
        <w:rPr>
          <w:b/>
          <w:color w:val="auto"/>
          <w:highlight w:val="none"/>
        </w:rPr>
      </w:pPr>
      <w:r>
        <w:rPr>
          <w:b/>
          <w:color w:val="auto"/>
          <w:highlight w:val="none"/>
        </w:rPr>
      </w:r>
      <w:r/>
    </w:p>
    <w:p>
      <w:pPr>
        <w:jc w:val="center"/>
        <w:rPr>
          <w:b/>
          <w:color w:val="auto"/>
          <w:highlight w:val="none"/>
        </w:rPr>
      </w:pPr>
      <w:r>
        <w:rPr>
          <w:rFonts w:hint="eastAsia"/>
          <w:b/>
          <w:color w:val="auto"/>
          <w:highlight w:val="none"/>
        </w:rPr>
        <w:t xml:space="preserve">开标一览表</w:t>
      </w:r>
      <w:r/>
    </w:p>
    <w:p>
      <w:pPr>
        <w:jc w:val="center"/>
        <w:rPr>
          <w:b/>
          <w:color w:val="auto"/>
          <w:highlight w:val="none"/>
        </w:rPr>
      </w:pPr>
      <w:r>
        <w:rPr>
          <w:b/>
          <w:color w:val="auto"/>
          <w:highlight w:val="none"/>
        </w:rPr>
      </w:r>
      <w:r/>
    </w:p>
    <w:p>
      <w:pPr>
        <w:pStyle w:val="780"/>
        <w:keepLines w:val="0"/>
        <w:keepNext w:val="0"/>
        <w:widowControl/>
        <w:rPr>
          <w:color w:val="auto"/>
          <w:highlight w:val="none"/>
        </w:rPr>
        <w:suppressLineNumbers w:val="0"/>
      </w:pPr>
      <w:r>
        <w:rPr>
          <w:color w:val="auto"/>
          <w:highlight w:val="none"/>
        </w:rPr>
        <w:t xml:space="preserve">项目编号：项目编号 </w:t>
      </w:r>
      <w:r/>
    </w:p>
    <w:p>
      <w:pPr>
        <w:pStyle w:val="780"/>
        <w:keepLines w:val="0"/>
        <w:keepNext w:val="0"/>
        <w:widowControl/>
        <w:rPr>
          <w:color w:val="auto"/>
          <w:highlight w:val="none"/>
        </w:rPr>
        <w:suppressLineNumbers w:val="0"/>
      </w:pPr>
      <w:r>
        <w:rPr>
          <w:color w:val="auto"/>
          <w:highlight w:val="none"/>
        </w:rPr>
        <w:t xml:space="preserve">本次为首次报价</w:t>
      </w:r>
      <w:r/>
    </w:p>
    <w:p>
      <w:pPr>
        <w:pStyle w:val="780"/>
        <w:keepLines w:val="0"/>
        <w:keepNext w:val="0"/>
        <w:widowControl/>
        <w:rPr>
          <w:color w:val="auto"/>
          <w:highlight w:val="none"/>
        </w:rPr>
        <w:suppressLineNumbers w:val="0"/>
      </w:pPr>
      <w:r>
        <w:rPr>
          <w:color w:val="auto"/>
          <w:highlight w:val="none"/>
        </w:rPr>
        <w:t xml:space="preserve">货币单位：人民币元</w:t>
      </w:r>
      <w:r/>
    </w:p>
    <w:tbl>
      <w:tblPr>
        <w:tblStyle w:val="741"/>
        <w:tblW w:w="9031"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926"/>
        <w:gridCol w:w="2433"/>
        <w:gridCol w:w="2112"/>
        <w:gridCol w:w="1560"/>
      </w:tblGrid>
      <w:tr>
        <w:trPr>
          <w:tblCellSpacing w:w="15" w:type="dxa"/>
        </w:trPr>
        <w:tc>
          <w:tcPr>
            <w:shd w:val="clear" w:color="auto" w:fill="auto"/>
            <w:tcW w:w="2881" w:type="dxa"/>
            <w:vAlign w:val="center"/>
            <w:textDirection w:val="lrTb"/>
            <w:noWrap w:val="false"/>
          </w:tcPr>
          <w:p>
            <w:pPr>
              <w:pStyle w:val="780"/>
              <w:keepLines w:val="0"/>
              <w:keepNext w:val="0"/>
              <w:widowControl/>
              <w:rPr>
                <w:color w:val="auto"/>
                <w:highlight w:val="none"/>
              </w:rPr>
              <w:suppressLineNumbers w:val="0"/>
            </w:pPr>
            <w:r>
              <w:rPr>
                <w:color w:val="auto"/>
                <w:highlight w:val="none"/>
              </w:rPr>
              <w:t xml:space="preserve">项目名称</w:t>
            </w:r>
            <w:r/>
          </w:p>
        </w:tc>
        <w:tc>
          <w:tcPr>
            <w:shd w:val="clear" w:color="auto" w:fill="auto"/>
            <w:tcW w:w="2403" w:type="dxa"/>
            <w:vAlign w:val="center"/>
            <w:textDirection w:val="lrTb"/>
            <w:noWrap w:val="false"/>
          </w:tcPr>
          <w:p>
            <w:pPr>
              <w:pStyle w:val="780"/>
              <w:keepLines w:val="0"/>
              <w:keepNext w:val="0"/>
              <w:widowControl/>
              <w:rPr>
                <w:color w:val="auto"/>
                <w:highlight w:val="none"/>
              </w:rPr>
              <w:suppressLineNumbers w:val="0"/>
            </w:pPr>
            <w:r>
              <w:rPr>
                <w:color w:val="auto"/>
                <w:highlight w:val="none"/>
              </w:rPr>
              <w:t xml:space="preserve">项目内容</w:t>
            </w:r>
            <w:r/>
          </w:p>
        </w:tc>
        <w:tc>
          <w:tcPr>
            <w:shd w:val="clear" w:color="auto" w:fill="auto"/>
            <w:tcW w:w="2082" w:type="dxa"/>
            <w:vAlign w:val="center"/>
            <w:textDirection w:val="lrTb"/>
            <w:noWrap w:val="false"/>
          </w:tcPr>
          <w:p>
            <w:pPr>
              <w:pStyle w:val="780"/>
              <w:keepLines w:val="0"/>
              <w:keepNext w:val="0"/>
              <w:widowControl/>
              <w:rPr>
                <w:color w:val="auto"/>
                <w:highlight w:val="none"/>
              </w:rPr>
              <w:suppressLineNumbers w:val="0"/>
            </w:pPr>
            <w:r>
              <w:rPr>
                <w:color w:val="auto"/>
                <w:highlight w:val="none"/>
              </w:rPr>
              <w:t xml:space="preserve">报价（小写）</w:t>
            </w:r>
            <w:r/>
          </w:p>
        </w:tc>
        <w:tc>
          <w:tcPr>
            <w:shd w:val="clear" w:color="auto" w:fill="auto"/>
            <w:tcW w:w="1515" w:type="dxa"/>
            <w:vAlign w:val="center"/>
            <w:textDirection w:val="lrTb"/>
            <w:noWrap w:val="false"/>
          </w:tcPr>
          <w:p>
            <w:pPr>
              <w:pStyle w:val="780"/>
              <w:keepLines w:val="0"/>
              <w:keepNext w:val="0"/>
              <w:widowControl/>
              <w:rPr>
                <w:color w:val="auto"/>
                <w:highlight w:val="none"/>
              </w:rPr>
              <w:suppressLineNumbers w:val="0"/>
            </w:pPr>
            <w:r>
              <w:rPr>
                <w:color w:val="auto"/>
                <w:highlight w:val="none"/>
              </w:rPr>
              <w:t xml:space="preserve">备注</w:t>
            </w:r>
            <w:r/>
          </w:p>
        </w:tc>
      </w:tr>
      <w:tr>
        <w:trPr>
          <w:tblCellSpacing w:w="15" w:type="dxa"/>
        </w:trPr>
        <w:tc>
          <w:tcPr>
            <w:shd w:val="clear" w:color="auto" w:fill="auto"/>
            <w:tcW w:w="2881" w:type="dxa"/>
            <w:vAlign w:val="center"/>
            <w:textDirection w:val="lrTb"/>
            <w:noWrap w:val="false"/>
          </w:tcPr>
          <w:p>
            <w:pPr>
              <w:pStyle w:val="780"/>
              <w:keepLines w:val="0"/>
              <w:keepNext w:val="0"/>
              <w:widowControl/>
              <w:rPr>
                <w:color w:val="auto"/>
                <w:highlight w:val="none"/>
              </w:rPr>
              <w:suppressLineNumbers w:val="0"/>
            </w:pPr>
            <w:r>
              <w:rPr>
                <w:color w:val="auto"/>
                <w:highlight w:val="none"/>
              </w:rPr>
              <w:t xml:space="preserve">项目名称 </w:t>
            </w:r>
            <w:r/>
          </w:p>
        </w:tc>
        <w:tc>
          <w:tcPr>
            <w:shd w:val="clear" w:color="auto" w:fill="auto"/>
            <w:tcW w:w="2403" w:type="dxa"/>
            <w:vAlign w:val="center"/>
            <w:textDirection w:val="lrTb"/>
            <w:noWrap w:val="false"/>
          </w:tcPr>
          <w:p>
            <w:pPr>
              <w:pStyle w:val="780"/>
              <w:keepLines w:val="0"/>
              <w:keepNext w:val="0"/>
              <w:widowControl/>
              <w:rPr>
                <w:color w:val="auto"/>
                <w:highlight w:val="none"/>
              </w:rPr>
              <w:suppressLineNumbers w:val="0"/>
            </w:pPr>
            <w:r>
              <w:rPr>
                <w:color w:val="auto"/>
                <w:highlight w:val="none"/>
              </w:rPr>
              <w:t xml:space="preserve">详见《谈判文件》</w:t>
            </w:r>
            <w:r/>
          </w:p>
        </w:tc>
        <w:tc>
          <w:tcPr>
            <w:shd w:val="clear" w:color="auto" w:fill="auto"/>
            <w:tcW w:w="2082" w:type="dxa"/>
            <w:vAlign w:val="center"/>
            <w:textDirection w:val="lrTb"/>
            <w:noWrap w:val="false"/>
          </w:tcPr>
          <w:p>
            <w:pPr>
              <w:pStyle w:val="780"/>
              <w:keepLines w:val="0"/>
              <w:keepNext w:val="0"/>
              <w:widowControl/>
              <w:rPr>
                <w:color w:val="auto"/>
                <w:highlight w:val="none"/>
              </w:rPr>
              <w:suppressLineNumbers w:val="0"/>
            </w:pPr>
            <w:r>
              <w:rPr>
                <w:color w:val="auto"/>
                <w:highlight w:val="none"/>
              </w:rP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w:t>
            </w:r>
            <w:r>
              <w:rPr>
                <w:rFonts w:hint="eastAsia"/>
                <w:color w:val="auto"/>
                <w:highlight w:val="none"/>
                <w:lang w:val="en-US" w:eastAsia="zh-CN"/>
              </w:rPr>
              <w:t xml:space="preserve">       </w:t>
            </w:r>
            <w:r>
              <w:rPr>
                <w:color w:val="auto"/>
                <w:highlight w:val="none"/>
              </w:rPr>
              <w:t xml:space="preserve">元</w:t>
            </w:r>
            <w:r/>
          </w:p>
        </w:tc>
        <w:tc>
          <w:tcPr>
            <w:shd w:val="clear" w:color="auto" w:fill="auto"/>
            <w:tcW w:w="1515" w:type="dxa"/>
            <w:vAlign w:val="center"/>
            <w:textDirection w:val="lrTb"/>
            <w:noWrap w:val="false"/>
          </w:tcPr>
          <w:p>
            <w:pPr>
              <w:pStyle w:val="780"/>
              <w:keepLines w:val="0"/>
              <w:keepNext w:val="0"/>
              <w:widowControl/>
              <w:rPr>
                <w:color w:val="auto"/>
                <w:highlight w:val="none"/>
              </w:rPr>
              <w:suppressLineNumbers w:val="0"/>
            </w:pPr>
            <w:r>
              <w:rPr>
                <w:color w:val="auto"/>
                <w:highlight w:val="none"/>
              </w:rPr>
              <w:t xml:space="preserve"> </w:t>
            </w:r>
            <w:r/>
          </w:p>
        </w:tc>
      </w:tr>
      <w:tr>
        <w:trPr>
          <w:tblCellSpacing w:w="15" w:type="dxa"/>
        </w:trPr>
        <w:tc>
          <w:tcPr>
            <w:shd w:val="clear" w:color="auto" w:fill="auto"/>
            <w:tcW w:w="2881" w:type="dxa"/>
            <w:vAlign w:val="center"/>
            <w:textDirection w:val="lrTb"/>
            <w:noWrap w:val="false"/>
          </w:tcPr>
          <w:p>
            <w:pPr>
              <w:pStyle w:val="780"/>
              <w:keepLines w:val="0"/>
              <w:keepNext w:val="0"/>
              <w:widowControl/>
              <w:rPr>
                <w:color w:val="auto"/>
                <w:highlight w:val="none"/>
              </w:rPr>
              <w:suppressLineNumbers w:val="0"/>
            </w:pPr>
            <w:r>
              <w:rPr>
                <w:color w:val="auto"/>
                <w:highlight w:val="none"/>
              </w:rPr>
              <w:t xml:space="preserve">报价（大写）：</w:t>
            </w:r>
            <w:r/>
          </w:p>
        </w:tc>
        <w:tc>
          <w:tcPr>
            <w:gridSpan w:val="3"/>
            <w:shd w:val="clear" w:color="auto" w:fill="auto"/>
            <w:tcW w:w="6060" w:type="dxa"/>
            <w:vAlign w:val="center"/>
            <w:textDirection w:val="lrTb"/>
            <w:noWrap w:val="false"/>
          </w:tcPr>
          <w:p>
            <w:pPr>
              <w:pStyle w:val="780"/>
              <w:keepLines w:val="0"/>
              <w:keepNext w:val="0"/>
              <w:widowControl/>
              <w:rPr>
                <w:color w:val="auto"/>
                <w:highlight w:val="none"/>
              </w:rPr>
              <w:suppressLineNumbers w:val="0"/>
            </w:pPr>
            <w:r>
              <w:rPr>
                <w:color w:val="auto"/>
                <w:highlight w:val="none"/>
              </w:rPr>
              <w:t xml:space="preserve">金额大写 </w:t>
            </w:r>
            <w:r/>
          </w:p>
        </w:tc>
      </w:tr>
    </w:tbl>
    <w:p>
      <w:pPr>
        <w:pStyle w:val="780"/>
        <w:keepLines w:val="0"/>
        <w:keepNext w:val="0"/>
        <w:widowControl/>
        <w:rPr>
          <w:color w:val="auto"/>
          <w:highlight w:val="none"/>
        </w:rPr>
        <w:suppressLineNumbers w:val="0"/>
      </w:pPr>
      <w:r>
        <w:rPr>
          <w:color w:val="auto"/>
          <w:highlight w:val="none"/>
        </w:rPr>
        <w:t xml:space="preserve"> </w:t>
      </w:r>
      <w:r/>
    </w:p>
    <w:p>
      <w:pPr>
        <w:pStyle w:val="780"/>
        <w:keepLines w:val="0"/>
        <w:keepNext w:val="0"/>
        <w:widowControl/>
        <w:rPr>
          <w:color w:val="auto"/>
          <w:highlight w:val="none"/>
        </w:rPr>
        <w:suppressLineNumbers w:val="0"/>
      </w:pPr>
      <w:r>
        <w:rPr>
          <w:color w:val="auto"/>
          <w:highlight w:val="none"/>
        </w:rPr>
        <w:t xml:space="preserve">供应商报价说明：</w:t>
      </w:r>
      <w:r/>
    </w:p>
    <w:p>
      <w:pPr>
        <w:pStyle w:val="780"/>
        <w:keepLines w:val="0"/>
        <w:keepNext w:val="0"/>
        <w:widowControl/>
        <w:rPr>
          <w:color w:val="auto"/>
          <w:highlight w:val="none"/>
        </w:rPr>
        <w:suppressLineNumbers w:val="0"/>
      </w:pPr>
      <w:r>
        <w:rPr>
          <w:color w:val="auto"/>
          <w:highlight w:val="none"/>
        </w:rPr>
        <w:t xml:space="preserve">1、采购人不需再支付报价以外的任何费用。</w:t>
      </w:r>
      <w:r/>
    </w:p>
    <w:p>
      <w:pPr>
        <w:pStyle w:val="780"/>
        <w:keepLines w:val="0"/>
        <w:keepNext w:val="0"/>
        <w:widowControl/>
        <w:rPr>
          <w:color w:val="auto"/>
          <w:highlight w:val="none"/>
        </w:rPr>
        <w:suppressLineNumbers w:val="0"/>
      </w:pPr>
      <w:r>
        <w:rPr>
          <w:color w:val="auto"/>
          <w:highlight w:val="none"/>
        </w:rPr>
        <w:t xml:space="preserve">2、偏离说明：详见《偏离表》。</w:t>
      </w:r>
      <w:r/>
    </w:p>
    <w:p>
      <w:pPr>
        <w:pStyle w:val="780"/>
        <w:keepLines w:val="0"/>
        <w:keepNext w:val="0"/>
        <w:widowControl/>
        <w:rPr>
          <w:color w:val="auto"/>
          <w:highlight w:val="none"/>
        </w:rPr>
        <w:suppressLineNumbers w:val="0"/>
      </w:pPr>
      <w:r>
        <w:rPr>
          <w:color w:val="auto"/>
          <w:highlight w:val="none"/>
        </w:rPr>
        <w:t xml:space="preserve">3、报价大小写不一致以大写为准。</w:t>
      </w:r>
      <w:r/>
    </w:p>
    <w:p>
      <w:pPr>
        <w:pStyle w:val="780"/>
        <w:keepLines w:val="0"/>
        <w:keepNext w:val="0"/>
        <w:widowControl/>
        <w:rPr>
          <w:color w:val="auto"/>
          <w:highlight w:val="none"/>
        </w:rPr>
        <w:suppressLineNumbers w:val="0"/>
      </w:pPr>
      <w:r>
        <w:rPr>
          <w:color w:val="auto"/>
          <w:highlight w:val="none"/>
        </w:rPr>
        <w:t xml:space="preserve"> </w:t>
      </w:r>
      <w:r/>
    </w:p>
    <w:p>
      <w:pPr>
        <w:pStyle w:val="780"/>
        <w:keepLines w:val="0"/>
        <w:keepNext w:val="0"/>
        <w:widowControl/>
        <w:rPr>
          <w:color w:val="auto"/>
          <w:highlight w:val="none"/>
        </w:rPr>
        <w:suppressLineNumbers w:val="0"/>
      </w:pPr>
      <w:r>
        <w:rPr>
          <w:color w:val="auto"/>
          <w:highlight w:val="none"/>
        </w:rPr>
        <w:t xml:space="preserve">  </w:t>
      </w:r>
      <w:r/>
    </w:p>
    <w:p>
      <w:pPr>
        <w:pStyle w:val="780"/>
        <w:keepLines w:val="0"/>
        <w:keepNext w:val="0"/>
        <w:widowControl/>
        <w:rPr>
          <w:color w:val="auto"/>
          <w:highlight w:val="none"/>
        </w:rPr>
        <w:suppressLineNumbers w:val="0"/>
      </w:pPr>
      <w:r>
        <w:rPr>
          <w:color w:val="auto"/>
          <w:highlight w:val="none"/>
        </w:rPr>
        <w:t xml:space="preserve">投标人公章：                               （电子签章）</w:t>
      </w:r>
      <w:r/>
    </w:p>
    <w:p>
      <w:pPr>
        <w:pStyle w:val="780"/>
        <w:keepLines w:val="0"/>
        <w:keepNext w:val="0"/>
        <w:widowControl/>
        <w:rPr>
          <w:color w:val="auto"/>
          <w:highlight w:val="none"/>
        </w:rPr>
        <w:suppressLineNumbers w:val="0"/>
      </w:pPr>
      <w:r>
        <w:rPr>
          <w:color w:val="auto"/>
          <w:highlight w:val="none"/>
        </w:rPr>
        <w:t xml:space="preserve"> </w:t>
      </w:r>
      <w:r/>
    </w:p>
    <w:p>
      <w:pPr>
        <w:pStyle w:val="780"/>
        <w:keepLines w:val="0"/>
        <w:keepNext w:val="0"/>
        <w:widowControl/>
        <w:rPr>
          <w:color w:val="auto"/>
          <w:highlight w:val="none"/>
        </w:rPr>
        <w:suppressLineNumbers w:val="0"/>
      </w:pPr>
      <w:r>
        <w:rPr>
          <w:color w:val="auto"/>
          <w:highlight w:val="none"/>
        </w:rPr>
        <w:t xml:space="preserve"> </w:t>
      </w:r>
      <w:r/>
    </w:p>
    <w:p>
      <w:pPr>
        <w:pStyle w:val="780"/>
        <w:keepLines w:val="0"/>
        <w:keepNext w:val="0"/>
        <w:widowControl/>
        <w:rPr>
          <w:color w:val="auto"/>
          <w:highlight w:val="none"/>
        </w:rPr>
        <w:suppressLineNumbers w:val="0"/>
      </w:pPr>
      <w:r>
        <w:rPr>
          <w:color w:val="auto"/>
          <w:highlight w:val="none"/>
        </w:rPr>
        <w:t xml:space="preserve">报价时间：     </w:t>
      </w:r>
      <w:r>
        <w:rPr>
          <w:color w:val="auto"/>
          <w:highlight w:val="none"/>
        </w:rP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年 </w:t>
      </w:r>
      <w:r>
        <w:rPr>
          <w:color w:val="auto"/>
          <w:highlight w:val="none"/>
        </w:rPr>
        <mc:AlternateContent>
          <mc:Choice Requires="wpg">
            <w:drawing>
              <wp:inline xmlns:wp="http://schemas.openxmlformats.org/drawingml/2006/wordprocessingDrawing" distT="0" distB="0" distL="0" distR="0">
                <wp:extent cx="635"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月 </w:t>
      </w:r>
      <w:r>
        <w:rPr>
          <w:color w:val="auto"/>
          <w:highlight w:val="none"/>
        </w:rP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color w:val="auto"/>
          <w:highlight w:val="none"/>
        </w:rPr>
        <w:t xml:space="preserve">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32"/>
        <w:rPr>
          <w:rFonts w:ascii="宋体" w:hAnsi="宋体" w:eastAsia="宋体"/>
          <w:color w:val="auto"/>
          <w:sz w:val="24"/>
          <w:szCs w:val="24"/>
          <w:highlight w:val="none"/>
        </w:rPr>
      </w:pPr>
      <w:r/>
      <w:bookmarkStart w:id="66" w:name="_Toc519686654"/>
      <w:r/>
      <w:bookmarkStart w:id="67" w:name="_Toc500143979"/>
      <w:r/>
      <w:bookmarkStart w:id="68" w:name="_Ref477865934"/>
      <w:r/>
      <w:bookmarkStart w:id="69" w:name="_Ref15304724"/>
      <w:r>
        <w:rPr>
          <w:rFonts w:ascii="宋体" w:hAnsi="宋体" w:eastAsia="宋体"/>
          <w:color w:val="auto"/>
          <w:sz w:val="24"/>
          <w:szCs w:val="24"/>
          <w:highlight w:val="none"/>
        </w:rPr>
        <w:br w:type="column"/>
      </w:r>
      <w:bookmarkStart w:id="70" w:name="_Toc98785123"/>
      <w:r/>
      <w:bookmarkStart w:id="71" w:name="_Toc130478807"/>
      <w:r/>
      <w:bookmarkStart w:id="72" w:name="_Toc166487081"/>
      <w:r/>
      <w:bookmarkStart w:id="73" w:name="_Toc166488931"/>
      <w:r>
        <w:rPr>
          <w:rFonts w:ascii="宋体" w:hAnsi="宋体" w:eastAsia="宋体"/>
          <w:color w:val="auto"/>
          <w:sz w:val="24"/>
          <w:szCs w:val="24"/>
          <w:highlight w:val="none"/>
        </w:rPr>
        <w:t xml:space="preserve">附件</w:t>
      </w:r>
      <w:r>
        <w:rPr>
          <w:rFonts w:hint="eastAsia" w:ascii="宋体" w:hAnsi="宋体" w:eastAsia="宋体"/>
          <w:color w:val="auto"/>
          <w:sz w:val="24"/>
          <w:szCs w:val="24"/>
          <w:highlight w:val="none"/>
        </w:rPr>
        <w:t xml:space="preserve">7</w:t>
      </w:r>
      <w:r>
        <w:rPr>
          <w:rFonts w:ascii="宋体" w:hAnsi="宋体" w:eastAsia="宋体"/>
          <w:color w:val="auto"/>
          <w:sz w:val="24"/>
          <w:szCs w:val="24"/>
          <w:highlight w:val="none"/>
        </w:rPr>
        <w:t xml:space="preserve">：</w:t>
      </w:r>
      <w:bookmarkEnd w:id="66"/>
      <w:r/>
      <w:bookmarkEnd w:id="67"/>
      <w:r/>
      <w:bookmarkEnd w:id="68"/>
      <w:r>
        <w:rPr>
          <w:rFonts w:ascii="宋体" w:hAnsi="宋体" w:eastAsia="宋体"/>
          <w:color w:val="auto"/>
          <w:sz w:val="24"/>
          <w:szCs w:val="24"/>
          <w:highlight w:val="none"/>
        </w:rPr>
        <w:t xml:space="preserve">报价分析表</w:t>
      </w:r>
      <w:bookmarkEnd w:id="69"/>
      <w:r/>
      <w:bookmarkEnd w:id="70"/>
      <w:r/>
      <w:bookmarkEnd w:id="71"/>
      <w:r/>
      <w:bookmarkEnd w:id="72"/>
      <w:r/>
      <w:bookmarkEnd w:id="73"/>
      <w:r/>
      <w:r/>
    </w:p>
    <w:p>
      <w:pPr>
        <w:pStyle w:val="1007"/>
        <w:spacing w:line="360" w:lineRule="auto"/>
        <w:rPr>
          <w:rFonts w:hAnsi="宋体" w:eastAsia="宋体"/>
          <w:b/>
          <w:color w:val="auto"/>
          <w:sz w:val="24"/>
          <w:highlight w:val="none"/>
        </w:rPr>
      </w:pPr>
      <w:r>
        <w:rPr>
          <w:rFonts w:hAnsi="宋体" w:eastAsia="宋体"/>
          <w:b/>
          <w:color w:val="auto"/>
          <w:sz w:val="24"/>
          <w:highlight w:val="none"/>
        </w:rPr>
      </w:r>
      <w:r/>
    </w:p>
    <w:p>
      <w:pPr>
        <w:pStyle w:val="1007"/>
        <w:jc w:val="center"/>
        <w:spacing w:line="360" w:lineRule="auto"/>
        <w:rPr>
          <w:rFonts w:hAnsi="宋体" w:eastAsia="宋体"/>
          <w:color w:val="auto"/>
          <w:sz w:val="24"/>
          <w:highlight w:val="none"/>
        </w:rPr>
      </w:pPr>
      <w:r>
        <w:rPr>
          <w:rFonts w:hAnsi="宋体" w:eastAsia="宋体"/>
          <w:color w:val="auto"/>
          <w:sz w:val="24"/>
          <w:highlight w:val="none"/>
          <w:u w:val="single"/>
        </w:rPr>
        <w:t xml:space="preserve">                    </w:t>
      </w:r>
      <w:r>
        <w:rPr>
          <w:rFonts w:hAnsi="宋体" w:eastAsia="宋体"/>
          <w:color w:val="auto"/>
          <w:sz w:val="24"/>
          <w:highlight w:val="none"/>
        </w:rPr>
        <w:t xml:space="preserve"> 项目投标报价表</w:t>
      </w:r>
      <w:r/>
    </w:p>
    <w:p>
      <w:pPr>
        <w:pStyle w:val="1007"/>
        <w:jc w:val="center"/>
        <w:spacing w:line="360" w:lineRule="auto"/>
        <w:rPr>
          <w:rFonts w:hAnsi="宋体" w:eastAsia="宋体"/>
          <w:color w:val="auto"/>
          <w:sz w:val="24"/>
          <w:highlight w:val="none"/>
        </w:rPr>
      </w:pPr>
      <w:r>
        <w:rPr>
          <w:rFonts w:hAnsi="宋体" w:eastAsia="宋体"/>
          <w:color w:val="auto"/>
          <w:sz w:val="24"/>
          <w:highlight w:val="none"/>
        </w:rPr>
      </w:r>
      <w:r/>
    </w:p>
    <w:tbl>
      <w:tblPr>
        <w:tblStyle w:val="741"/>
        <w:tblW w:w="883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954"/>
        <w:gridCol w:w="990"/>
        <w:gridCol w:w="1275"/>
        <w:gridCol w:w="1580"/>
        <w:gridCol w:w="1276"/>
        <w:gridCol w:w="1052"/>
      </w:tblGrid>
      <w:tr>
        <w:trPr>
          <w:cantSplit/>
          <w:jc w:val="center"/>
        </w:trPr>
        <w:tc>
          <w:tcPr>
            <w:tcBorders>
              <w:top w:val="single" w:color="auto" w:sz="4" w:space="0"/>
              <w:left w:val="single" w:color="auto" w:sz="4" w:space="0"/>
              <w:bottom w:val="single" w:color="auto" w:sz="6" w:space="0"/>
              <w:right w:val="single" w:color="auto" w:sz="6" w:space="0"/>
            </w:tcBorders>
            <w:tcW w:w="709"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top w:val="single" w:color="auto" w:sz="4" w:space="0"/>
              <w:left w:val="single" w:color="auto" w:sz="6" w:space="0"/>
              <w:bottom w:val="single" w:color="auto" w:sz="6" w:space="0"/>
              <w:right w:val="single" w:color="auto" w:sz="6" w:space="0"/>
            </w:tcBorders>
            <w:tcW w:w="1954"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内容</w:t>
            </w:r>
            <w:r/>
          </w:p>
        </w:tc>
        <w:tc>
          <w:tcPr>
            <w:tcBorders>
              <w:top w:val="single" w:color="auto" w:sz="4" w:space="0"/>
              <w:left w:val="single" w:color="auto" w:sz="6" w:space="0"/>
              <w:bottom w:val="single" w:color="auto" w:sz="6" w:space="0"/>
              <w:right w:val="single" w:color="auto" w:sz="4" w:space="0"/>
            </w:tcBorders>
            <w:tcW w:w="99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w:t>
            </w:r>
            <w:r/>
          </w:p>
        </w:tc>
        <w:tc>
          <w:tcPr>
            <w:tcBorders>
              <w:top w:val="single" w:color="auto" w:sz="4" w:space="0"/>
              <w:left w:val="single" w:color="auto" w:sz="4" w:space="0"/>
              <w:bottom w:val="single" w:color="auto" w:sz="6" w:space="0"/>
              <w:right w:val="single" w:color="auto" w:sz="6" w:space="0"/>
            </w:tcBorders>
            <w:tcW w:w="1275"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Borders>
              <w:top w:val="single" w:color="auto" w:sz="4" w:space="0"/>
              <w:left w:val="single" w:color="auto" w:sz="6" w:space="0"/>
              <w:bottom w:val="single" w:color="auto" w:sz="6" w:space="0"/>
              <w:right w:val="single" w:color="auto" w:sz="4" w:space="0"/>
            </w:tcBorders>
            <w:tcW w:w="158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单价（元）</w:t>
            </w:r>
            <w:r/>
          </w:p>
        </w:tc>
        <w:tc>
          <w:tcPr>
            <w:tcBorders>
              <w:top w:val="single" w:color="auto" w:sz="4" w:space="0"/>
              <w:left w:val="single" w:color="auto" w:sz="6" w:space="0"/>
              <w:bottom w:val="single" w:color="auto" w:sz="6" w:space="0"/>
              <w:right w:val="single" w:color="auto" w:sz="4" w:space="0"/>
            </w:tcBorders>
            <w:tcW w:w="1276"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总价（元）</w:t>
            </w:r>
            <w:r/>
          </w:p>
        </w:tc>
        <w:tc>
          <w:tcPr>
            <w:tcBorders>
              <w:top w:val="single" w:color="auto" w:sz="4" w:space="0"/>
              <w:left w:val="single" w:color="auto" w:sz="6" w:space="0"/>
              <w:bottom w:val="single" w:color="auto" w:sz="6" w:space="0"/>
              <w:right w:val="single" w:color="auto" w:sz="4" w:space="0"/>
            </w:tcBorders>
            <w:tcW w:w="1052"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交货期</w:t>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6"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Pr>
        <w:tc>
          <w:tcPr>
            <w:tcBorders>
              <w:top w:val="single" w:color="auto" w:sz="6" w:space="0"/>
              <w:left w:val="single" w:color="auto" w:sz="4" w:space="0"/>
              <w:bottom w:val="single" w:color="auto" w:sz="4"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4" w:space="0"/>
              <w:right w:val="single" w:color="auto" w:sz="6" w:space="0"/>
            </w:tcBorders>
            <w:tcW w:w="1954"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4" w:space="0"/>
              <w:right w:val="single" w:color="auto" w:sz="4" w:space="0"/>
            </w:tcBorders>
            <w:tcW w:w="99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4" w:space="0"/>
              <w:bottom w:val="single" w:color="auto" w:sz="4" w:space="0"/>
              <w:right w:val="single" w:color="auto" w:sz="6" w:space="0"/>
            </w:tcBorders>
            <w:tcW w:w="1275"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4" w:space="0"/>
              <w:right w:val="single" w:color="auto" w:sz="4" w:space="0"/>
            </w:tcBorders>
            <w:tcW w:w="1580"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4" w:space="0"/>
              <w:right w:val="single" w:color="auto" w:sz="4" w:space="0"/>
            </w:tcBorders>
            <w:tcW w:w="1276"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4" w:space="0"/>
              <w:right w:val="single" w:color="auto" w:sz="4" w:space="0"/>
            </w:tcBorders>
            <w:tcW w:w="1052"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tc>
      </w:tr>
      <w:tr>
        <w:trPr>
          <w:jc w:val="center"/>
          <w:trHeight w:val="1311"/>
        </w:trPr>
        <w:tc>
          <w:tcPr>
            <w:tcBorders>
              <w:top w:val="single" w:color="auto" w:sz="4" w:space="0"/>
              <w:left w:val="single" w:color="auto" w:sz="6" w:space="0"/>
              <w:bottom w:val="single" w:color="auto" w:sz="6" w:space="0"/>
              <w:right w:val="single" w:color="auto" w:sz="6" w:space="0"/>
            </w:tcBorders>
            <w:tcW w:w="709" w:type="dxa"/>
            <w:vAlign w:val="center"/>
            <w:textDirection w:val="lrTb"/>
            <w:noWrap w:val="false"/>
          </w:tcPr>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最终</w:t>
            </w:r>
            <w:r/>
          </w:p>
          <w:p>
            <w:pPr>
              <w:ind w:right="-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报价</w:t>
            </w:r>
            <w:r/>
          </w:p>
        </w:tc>
        <w:tc>
          <w:tcPr>
            <w:gridSpan w:val="6"/>
            <w:tcBorders>
              <w:top w:val="single" w:color="auto" w:sz="4" w:space="0"/>
              <w:left w:val="single" w:color="auto" w:sz="6" w:space="0"/>
              <w:bottom w:val="single" w:color="auto" w:sz="6" w:space="0"/>
              <w:right w:val="single" w:color="auto" w:sz="6" w:space="0"/>
            </w:tcBorders>
            <w:tcW w:w="8127" w:type="dxa"/>
            <w:vAlign w:val="center"/>
            <w:textDirection w:val="lrTb"/>
            <w:noWrap w:val="false"/>
          </w:tcPr>
          <w:p>
            <w:pPr>
              <w:ind w:right="-210" w:firstLine="210"/>
              <w:jc w:val="center"/>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金额大写：人民币                            （¥：             ）</w:t>
            </w:r>
            <w:r/>
          </w:p>
        </w:tc>
      </w:tr>
    </w:tbl>
    <w:p>
      <w:pPr>
        <w:spacing w:line="360" w:lineRule="auto"/>
        <w:rPr>
          <w:color w:val="auto"/>
          <w:szCs w:val="21"/>
          <w:highlight w:val="none"/>
        </w:rPr>
      </w:pPr>
      <w:r>
        <w:rPr>
          <w:color w:val="auto"/>
          <w:szCs w:val="21"/>
          <w:highlight w:val="none"/>
        </w:rPr>
      </w:r>
      <w:r/>
    </w:p>
    <w:p>
      <w:pPr>
        <w:spacing w:line="360" w:lineRule="auto"/>
        <w:rPr>
          <w:color w:val="auto"/>
          <w:szCs w:val="21"/>
          <w:highlight w:val="none"/>
        </w:rPr>
      </w:pPr>
      <w:r>
        <w:rPr>
          <w:rFonts w:hint="eastAsia"/>
          <w:color w:val="auto"/>
          <w:szCs w:val="21"/>
          <w:highlight w:val="none"/>
        </w:rPr>
        <w:t xml:space="preserve">注：1、</w:t>
      </w:r>
      <w:r>
        <w:rPr>
          <w:rFonts w:ascii="Arial" w:hAnsi="Arial" w:cs="Arial"/>
          <w:color w:val="auto"/>
          <w:highlight w:val="none"/>
        </w:rPr>
        <w:t xml:space="preserve">各投标单位可参照上述格式自制《投标报价分析表》投标</w:t>
      </w:r>
      <w:r>
        <w:rPr>
          <w:rFonts w:hint="eastAsia" w:ascii="Arial" w:hAnsi="Arial" w:cs="Arial"/>
          <w:color w:val="auto"/>
          <w:highlight w:val="none"/>
        </w:rPr>
        <w:t xml:space="preserve">，本表格未列出的费用明细各投标单位可根据实际情况自行添加</w:t>
      </w:r>
      <w:r>
        <w:rPr>
          <w:rFonts w:hint="eastAsia"/>
          <w:color w:val="auto"/>
          <w:szCs w:val="21"/>
          <w:highlight w:val="none"/>
        </w:rPr>
        <w:t xml:space="preserve">。</w:t>
      </w:r>
      <w:r/>
    </w:p>
    <w:p>
      <w:pPr>
        <w:numPr>
          <w:ilvl w:val="0"/>
          <w:numId w:val="13"/>
        </w:numPr>
        <w:ind w:firstLine="420"/>
        <w:spacing w:line="360" w:lineRule="auto"/>
        <w:rPr>
          <w:rFonts w:ascii="宋体" w:hAnsi="宋体"/>
          <w:b w:val="0"/>
          <w:bCs w:val="0"/>
          <w:color w:val="auto"/>
          <w:szCs w:val="21"/>
          <w:highlight w:val="none"/>
        </w:rPr>
      </w:pPr>
      <w:r>
        <w:rPr>
          <w:rFonts w:hint="eastAsia" w:ascii="宋体" w:hAnsi="Courier New"/>
          <w:b w:val="0"/>
          <w:bCs w:val="0"/>
          <w:color w:val="auto"/>
          <w:szCs w:val="21"/>
          <w:highlight w:val="none"/>
        </w:rPr>
        <w:t xml:space="preserve">以上费用</w:t>
      </w:r>
      <w:r>
        <w:rPr>
          <w:rFonts w:hint="eastAsia"/>
          <w:b w:val="0"/>
          <w:bCs w:val="0"/>
          <w:color w:val="auto"/>
          <w:highlight w:val="none"/>
        </w:rPr>
        <w:t xml:space="preserve">包括完成项目工作中所需的所有费用，</w:t>
      </w:r>
      <w:r>
        <w:rPr>
          <w:rFonts w:hint="eastAsia" w:ascii="宋体" w:hAnsi="宋体" w:eastAsia="宋体" w:cs="宋体"/>
          <w:color w:val="auto"/>
          <w:szCs w:val="21"/>
          <w:highlight w:val="none"/>
        </w:rPr>
        <w:t xml:space="preserve">包括直至完成本项目全部服务内容的所有人力费用、物力费用、验收费及保险、劳保、专利技术、技术支持与人员培训等工作所发生的全部费用以及投标人企业利润、税金和政策性文件规定等一切费用</w:t>
      </w:r>
      <w:r>
        <w:rPr>
          <w:rFonts w:hint="eastAsia" w:ascii="宋体" w:hAnsi="Courier New"/>
          <w:b w:val="0"/>
          <w:bCs w:val="0"/>
          <w:color w:val="auto"/>
          <w:szCs w:val="21"/>
          <w:highlight w:val="none"/>
        </w:rPr>
        <w:t xml:space="preserve">，除本合同约定由甲方支付的价款外，甲方不再需向乙方支付其他任何费用</w:t>
      </w:r>
      <w:r>
        <w:rPr>
          <w:rFonts w:ascii="宋体" w:hAnsi="宋体"/>
          <w:b w:val="0"/>
          <w:bCs w:val="0"/>
          <w:color w:val="auto"/>
          <w:szCs w:val="21"/>
          <w:highlight w:val="none"/>
        </w:rPr>
        <w:t xml:space="preserve">。</w:t>
      </w:r>
      <w:r/>
    </w:p>
    <w:p>
      <w:pPr>
        <w:ind w:firstLine="420"/>
        <w:jc w:val="left"/>
        <w:spacing w:line="360" w:lineRule="auto"/>
        <w:rPr>
          <w:rFonts w:ascii="宋体" w:hAnsi="Courier New"/>
          <w:color w:val="auto"/>
          <w:szCs w:val="21"/>
          <w:highlight w:val="none"/>
        </w:rPr>
      </w:pPr>
      <w:r>
        <w:rPr>
          <w:rFonts w:hint="eastAsia" w:ascii="宋体" w:hAnsi="Courier New"/>
          <w:color w:val="auto"/>
          <w:szCs w:val="21"/>
          <w:highlight w:val="none"/>
        </w:rPr>
        <w:t xml:space="preserve">3、如有需要说明的事项，请在备注中列明。</w:t>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olor w:val="auto"/>
          <w:szCs w:val="21"/>
          <w:highlight w:val="none"/>
        </w:rPr>
      </w:pPr>
      <w:r>
        <w:rPr>
          <w:rFonts w:ascii="宋体" w:hAnsi="宋体"/>
          <w:color w:val="auto"/>
          <w:szCs w:val="21"/>
          <w:highlight w:val="none"/>
        </w:rPr>
        <w:t xml:space="preserve">投标人：（单位盖章）</w:t>
      </w:r>
      <w:r/>
    </w:p>
    <w:p>
      <w:pPr>
        <w:spacing w:line="360" w:lineRule="auto"/>
        <w:rPr>
          <w:rFonts w:ascii="宋体" w:hAnsi="宋体"/>
          <w:color w:val="auto"/>
          <w:szCs w:val="21"/>
          <w:highlight w:val="none"/>
        </w:rPr>
      </w:pPr>
      <w:r>
        <w:rPr>
          <w:rFonts w:ascii="宋体" w:hAnsi="宋体"/>
          <w:color w:val="auto"/>
          <w:szCs w:val="21"/>
          <w:highlight w:val="none"/>
        </w:rPr>
        <w:t xml:space="preserve">法人</w:t>
      </w:r>
      <w:r>
        <w:rPr>
          <w:rFonts w:hint="eastAsia" w:ascii="宋体" w:hAnsi="宋体"/>
          <w:color w:val="auto"/>
          <w:szCs w:val="21"/>
          <w:highlight w:val="none"/>
        </w:rPr>
        <w:t xml:space="preserve">/</w:t>
      </w:r>
      <w:r>
        <w:rPr>
          <w:rFonts w:ascii="宋体" w:hAnsi="宋体"/>
          <w:color w:val="auto"/>
          <w:szCs w:val="21"/>
          <w:highlight w:val="none"/>
        </w:rPr>
        <w:t xml:space="preserve">被授权人：（签字或盖章）</w:t>
      </w:r>
      <w:r/>
    </w:p>
    <w:p>
      <w:pPr>
        <w:rPr>
          <w:color w:val="auto"/>
          <w:highlight w:val="none"/>
        </w:rPr>
      </w:pPr>
      <w:r>
        <w:rPr>
          <w:color w:val="auto"/>
          <w:highlight w:val="none"/>
        </w:rPr>
        <w:t xml:space="preserve">日期：         年     月    日</w:t>
      </w:r>
      <w:bookmarkStart w:id="74" w:name="_Toc98785124"/>
      <w:r/>
      <w:bookmarkStart w:id="75" w:name="_Toc130478808"/>
      <w:r/>
      <w:bookmarkStart w:id="76" w:name="_Ref33617553"/>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32"/>
        <w:rPr>
          <w:rFonts w:hint="default" w:ascii="宋体" w:hAnsi="宋体" w:eastAsia="宋体"/>
          <w:color w:val="auto"/>
          <w:sz w:val="24"/>
          <w:szCs w:val="24"/>
          <w:highlight w:val="none"/>
          <w:lang w:val="en-US" w:eastAsia="zh-CN"/>
        </w:rPr>
      </w:pPr>
      <w:r/>
      <w:bookmarkStart w:id="77" w:name="_Toc166487083"/>
      <w:r/>
      <w:bookmarkStart w:id="78" w:name="_Toc166488933"/>
      <w:r>
        <w:rPr>
          <w:rFonts w:hint="eastAsia" w:ascii="宋体" w:hAnsi="宋体" w:eastAsia="宋体"/>
          <w:color w:val="auto"/>
          <w:sz w:val="24"/>
          <w:szCs w:val="24"/>
          <w:highlight w:val="none"/>
        </w:rPr>
        <w:t xml:space="preserve">附件</w:t>
      </w:r>
      <w:r>
        <w:rPr>
          <w:rFonts w:hint="eastAsia" w:ascii="宋体" w:hAnsi="宋体" w:eastAsia="宋体"/>
          <w:color w:val="auto"/>
          <w:sz w:val="24"/>
          <w:szCs w:val="24"/>
          <w:highlight w:val="none"/>
          <w:lang w:val="en-US" w:eastAsia="zh-CN"/>
        </w:rPr>
        <w:t xml:space="preserve">8</w:t>
      </w:r>
      <w:r>
        <w:rPr>
          <w:rFonts w:hint="eastAsia" w:ascii="宋体" w:hAnsi="宋体" w:eastAsia="宋体"/>
          <w:color w:val="auto"/>
          <w:sz w:val="24"/>
          <w:szCs w:val="24"/>
          <w:highlight w:val="none"/>
        </w:rPr>
        <w:t xml:space="preserve">：</w:t>
      </w:r>
      <w:bookmarkEnd w:id="77"/>
      <w:r/>
      <w:bookmarkEnd w:id="78"/>
      <w:r>
        <w:rPr>
          <w:rFonts w:hint="eastAsia" w:ascii="宋体" w:hAnsi="宋体" w:eastAsia="宋体"/>
          <w:color w:val="auto"/>
          <w:sz w:val="24"/>
          <w:szCs w:val="24"/>
          <w:highlight w:val="none"/>
          <w:lang w:val="en-US" w:eastAsia="zh-CN"/>
        </w:rPr>
        <w:t xml:space="preserve">拟投入人员一览表</w:t>
      </w:r>
      <w:r/>
    </w:p>
    <w:p>
      <w:pPr>
        <w:pStyle w:val="1114"/>
        <w:jc w:val="center"/>
        <w:spacing w:line="360" w:lineRule="auto"/>
        <w:rPr>
          <w:rFonts w:hint="default" w:hAnsi="宋体" w:eastAsia="宋体"/>
          <w:b/>
          <w:color w:val="auto"/>
          <w:sz w:val="24"/>
          <w:highlight w:val="none"/>
          <w:lang w:val="en-US" w:eastAsia="zh-CN"/>
        </w:rPr>
      </w:pPr>
      <w:r>
        <w:rPr>
          <w:rFonts w:hint="eastAsia" w:hAnsi="宋体" w:eastAsia="宋体"/>
          <w:b/>
          <w:color w:val="auto"/>
          <w:sz w:val="24"/>
          <w:highlight w:val="none"/>
          <w:lang w:val="en-US" w:eastAsia="zh-CN"/>
        </w:rPr>
        <w:t xml:space="preserve">拟投入人员一览表</w:t>
      </w:r>
      <w:r/>
    </w:p>
    <w:tbl>
      <w:tblPr>
        <w:tblStyle w:val="741"/>
        <w:tblpPr w:horzAnchor="page" w:tblpX="1742" w:vertAnchor="text" w:tblpY="219" w:leftFromText="180" w:topFromText="0" w:rightFromText="180" w:bottomFromText="0"/>
        <w:tblW w:w="9218"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253"/>
        <w:gridCol w:w="913"/>
        <w:gridCol w:w="850"/>
        <w:gridCol w:w="980"/>
        <w:gridCol w:w="1450"/>
        <w:gridCol w:w="1422"/>
        <w:gridCol w:w="1455"/>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序号</w:t>
            </w:r>
            <w:r/>
          </w:p>
        </w:tc>
        <w:tc>
          <w:tcPr>
            <w:tcBorders>
              <w:top w:val="single" w:color="auto" w:sz="6" w:space="0"/>
              <w:left w:val="single" w:color="auto" w:sz="6" w:space="0"/>
              <w:bottom w:val="single" w:color="auto" w:sz="6" w:space="0"/>
              <w:right w:val="single" w:color="auto" w:sz="4" w:space="0"/>
            </w:tcBorders>
            <w:tcW w:w="1253"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姓名</w:t>
            </w:r>
            <w:r/>
          </w:p>
        </w:tc>
        <w:tc>
          <w:tcPr>
            <w:tcBorders>
              <w:top w:val="single" w:color="auto" w:sz="6" w:space="0"/>
              <w:left w:val="single" w:color="auto" w:sz="4" w:space="0"/>
              <w:bottom w:val="single" w:color="auto" w:sz="6" w:space="0"/>
              <w:right w:val="single" w:color="auto" w:sz="4" w:space="0"/>
            </w:tcBorders>
            <w:tcW w:w="913"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性别</w:t>
            </w:r>
            <w:r/>
          </w:p>
        </w:tc>
        <w:tc>
          <w:tcPr>
            <w:tcBorders>
              <w:top w:val="single" w:color="auto" w:sz="6" w:space="0"/>
              <w:left w:val="single" w:color="auto" w:sz="4" w:space="0"/>
              <w:bottom w:val="single" w:color="auto" w:sz="6" w:space="0"/>
              <w:right w:val="single" w:color="auto" w:sz="4" w:space="0"/>
            </w:tcBorders>
            <w:tcW w:w="85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年龄</w:t>
            </w:r>
            <w:r/>
          </w:p>
        </w:tc>
        <w:tc>
          <w:tcPr>
            <w:tcBorders>
              <w:top w:val="single" w:color="auto" w:sz="6" w:space="0"/>
              <w:left w:val="single" w:color="auto" w:sz="4" w:space="0"/>
              <w:bottom w:val="single" w:color="auto" w:sz="6" w:space="0"/>
              <w:right w:val="single" w:color="auto" w:sz="4" w:space="0"/>
            </w:tcBorders>
            <w:tcW w:w="98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职称</w:t>
            </w:r>
            <w:r/>
          </w:p>
        </w:tc>
        <w:tc>
          <w:tcPr>
            <w:tcBorders>
              <w:top w:val="single" w:color="auto" w:sz="6" w:space="0"/>
              <w:left w:val="single" w:color="auto" w:sz="4" w:space="0"/>
              <w:bottom w:val="single" w:color="auto" w:sz="6" w:space="0"/>
              <w:right w:val="single" w:color="auto" w:sz="6" w:space="0"/>
            </w:tcBorders>
            <w:tcW w:w="1450"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专业/资格</w:t>
            </w:r>
            <w:r/>
          </w:p>
        </w:tc>
        <w:tc>
          <w:tcPr>
            <w:tcBorders>
              <w:top w:val="single" w:color="auto" w:sz="6" w:space="0"/>
              <w:left w:val="single" w:color="auto" w:sz="6" w:space="0"/>
              <w:bottom w:val="single" w:color="auto" w:sz="4" w:space="0"/>
              <w:right w:val="single" w:color="auto" w:sz="4" w:space="0"/>
            </w:tcBorders>
            <w:tcW w:w="1422" w:type="dxa"/>
            <w:vAlign w:val="center"/>
            <w:textDirection w:val="lrTb"/>
            <w:noWrap w:val="false"/>
          </w:tcPr>
          <w:p>
            <w:pP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在本项目中担任的职务</w:t>
            </w:r>
            <w:r/>
          </w:p>
        </w:tc>
        <w:tc>
          <w:tcPr>
            <w:tcBorders>
              <w:top w:val="single" w:color="auto" w:sz="6" w:space="0"/>
              <w:left w:val="single" w:color="auto" w:sz="4" w:space="0"/>
              <w:bottom w:val="single" w:color="auto" w:sz="4" w:space="0"/>
              <w:right w:val="single" w:color="auto" w:sz="4" w:space="0"/>
            </w:tcBorders>
            <w:tcW w:w="1455" w:type="dxa"/>
            <w:vAlign w:val="center"/>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trHeight w:val="438"/>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t xml:space="preserve">1</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rHeight w:val="383"/>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6</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7</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8</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w:t>
            </w:r>
            <w:r/>
          </w:p>
        </w:tc>
        <w:tc>
          <w:tcPr>
            <w:tcBorders>
              <w:top w:val="single" w:color="auto" w:sz="6" w:space="0"/>
              <w:left w:val="single" w:color="auto" w:sz="6" w:space="0"/>
              <w:bottom w:val="single" w:color="auto" w:sz="6" w:space="0"/>
              <w:right w:val="single" w:color="auto" w:sz="4" w:space="0"/>
            </w:tcBorders>
            <w:tcW w:w="125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13"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8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6" w:space="0"/>
            </w:tcBorders>
            <w:tcW w:w="1450"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422"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455" w:type="dxa"/>
            <w:textDirection w:val="lrTb"/>
            <w:noWrap w:val="false"/>
          </w:tcPr>
          <w:p>
            <w:pPr>
              <w:jc w:val="left"/>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jc w:val="left"/>
        <w:spacing w:line="360" w:lineRule="auto"/>
        <w:rPr>
          <w:rFonts w:ascii="宋体" w:hAnsi="宋体"/>
          <w:color w:val="auto"/>
          <w:szCs w:val="21"/>
          <w:highlight w:val="none"/>
        </w:rPr>
      </w:pPr>
      <w:r>
        <w:rPr>
          <w:rFonts w:ascii="宋体" w:hAnsi="宋体"/>
          <w:color w:val="auto"/>
          <w:szCs w:val="21"/>
          <w:highlight w:val="none"/>
        </w:rPr>
      </w:r>
      <w:r/>
    </w:p>
    <w:p>
      <w:pPr>
        <w:ind w:right="357"/>
        <w:spacing w:before="120" w:line="400" w:lineRule="exact"/>
        <w:rPr>
          <w:rFonts w:hint="eastAsia"/>
          <w:color w:val="auto"/>
          <w:szCs w:val="21"/>
          <w:highlight w:val="none"/>
        </w:rPr>
      </w:pPr>
      <w:r>
        <w:rPr>
          <w:rFonts w:hint="eastAsia"/>
          <w:color w:val="auto"/>
          <w:szCs w:val="21"/>
          <w:highlight w:val="none"/>
        </w:rPr>
        <w:t xml:space="preserve">注：</w:t>
      </w:r>
      <w:r/>
    </w:p>
    <w:p>
      <w:pPr>
        <w:ind w:right="357"/>
        <w:spacing w:before="120" w:line="400" w:lineRule="exact"/>
        <w:rPr>
          <w:rFonts w:ascii="宋体" w:hAnsi="宋体"/>
          <w:b/>
          <w:bCs/>
          <w:color w:val="auto"/>
          <w:szCs w:val="21"/>
          <w:highlight w:val="none"/>
        </w:rPr>
      </w:pPr>
      <w:r>
        <w:rPr>
          <w:rFonts w:hint="eastAsia"/>
          <w:color w:val="auto"/>
          <w:szCs w:val="21"/>
          <w:highlight w:val="none"/>
        </w:rPr>
        <w:t xml:space="preserve">以上格式仅供参考，投标单位可自行编辑人员配备表</w:t>
      </w:r>
      <w:r>
        <w:rPr>
          <w:rFonts w:hint="eastAsia" w:hAnsi="宋体"/>
          <w:color w:val="auto"/>
          <w:szCs w:val="21"/>
          <w:highlight w:val="none"/>
        </w:rPr>
        <w:t xml:space="preserve">，格式自拟，满足采购需求。</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jc w:val="both"/>
        <w:keepLines/>
        <w:keepNext/>
        <w:spacing w:before="260" w:after="260" w:line="416" w:lineRule="auto"/>
        <w:widowControl w:val="off"/>
        <w:rPr>
          <w:rFonts w:hint="default" w:ascii="宋体" w:hAnsi="宋体" w:eastAsia="宋体" w:cs="Times New Roman"/>
          <w:b/>
          <w:bCs/>
          <w:color w:val="auto"/>
          <w:sz w:val="24"/>
          <w:szCs w:val="24"/>
          <w:highlight w:val="none"/>
          <w:lang w:val="en-US" w:eastAsia="zh-CN" w:bidi="ar-SA"/>
        </w:rPr>
        <w:outlineLvl w:val="1"/>
      </w:pPr>
      <w:r/>
      <w:bookmarkStart w:id="79" w:name="_Toc166488932"/>
      <w:r/>
      <w:bookmarkStart w:id="80" w:name="_Toc30794"/>
      <w:r/>
      <w:bookmarkStart w:id="81" w:name="_Toc166487082"/>
      <w:r>
        <w:rPr>
          <w:rFonts w:hint="eastAsia" w:ascii="宋体" w:hAnsi="宋体" w:eastAsia="宋体" w:cs="Times New Roman"/>
          <w:b/>
          <w:bCs/>
          <w:color w:val="auto"/>
          <w:sz w:val="24"/>
          <w:szCs w:val="24"/>
          <w:highlight w:val="none"/>
          <w:lang w:val="en-US" w:eastAsia="zh-CN" w:bidi="ar-SA"/>
        </w:rPr>
        <w:t xml:space="preserve">附件9</w:t>
      </w:r>
      <w:r>
        <w:rPr>
          <w:rFonts w:hint="default" w:ascii="宋体" w:hAnsi="宋体" w:eastAsia="宋体" w:cs="Times New Roman"/>
          <w:b/>
          <w:bCs/>
          <w:color w:val="auto"/>
          <w:sz w:val="24"/>
          <w:szCs w:val="24"/>
          <w:highlight w:val="none"/>
          <w:lang w:val="en-US" w:eastAsia="zh-CN" w:bidi="ar-SA"/>
        </w:rPr>
        <w:t xml:space="preserve">：</w:t>
      </w:r>
      <w:r>
        <w:rPr>
          <w:rFonts w:hint="eastAsia" w:ascii="宋体" w:hAnsi="宋体" w:eastAsia="宋体" w:cs="Times New Roman"/>
          <w:b/>
          <w:bCs/>
          <w:color w:val="auto"/>
          <w:sz w:val="24"/>
          <w:szCs w:val="24"/>
          <w:highlight w:val="none"/>
          <w:lang w:val="en-US" w:eastAsia="zh-CN" w:bidi="ar-SA"/>
        </w:rPr>
        <w:t xml:space="preserve">相关业绩一览表</w:t>
      </w:r>
      <w:bookmarkEnd w:id="79"/>
      <w:r/>
      <w:bookmarkEnd w:id="80"/>
      <w:r/>
      <w:bookmarkEnd w:id="81"/>
      <w:r/>
      <w:r/>
    </w:p>
    <w:p>
      <w:pPr>
        <w:jc w:val="center"/>
        <w:spacing w:line="360" w:lineRule="auto"/>
        <w:widowControl w:val="off"/>
        <w:rPr>
          <w:rFonts w:hint="default" w:ascii="宋体" w:hAnsi="宋体" w:eastAsia="宋体" w:cs="Times New Roman"/>
          <w:b/>
          <w:color w:val="auto"/>
          <w:sz w:val="24"/>
          <w:szCs w:val="20"/>
          <w:highlight w:val="none"/>
          <w:lang w:val="en-US" w:eastAsia="zh-CN" w:bidi="ar-SA"/>
        </w:rPr>
      </w:pPr>
      <w:r>
        <w:rPr>
          <w:rFonts w:hint="eastAsia" w:ascii="宋体" w:hAnsi="宋体" w:eastAsia="宋体" w:cs="Times New Roman"/>
          <w:b/>
          <w:color w:val="auto"/>
          <w:sz w:val="24"/>
          <w:szCs w:val="20"/>
          <w:highlight w:val="none"/>
          <w:lang w:val="en-US" w:eastAsia="zh-CN" w:bidi="ar-SA"/>
        </w:rPr>
        <w:t xml:space="preserve">相关业绩一览表</w:t>
      </w:r>
      <w:r/>
    </w:p>
    <w:p>
      <w:pP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服务单位名称：_________________________</w:t>
      </w:r>
      <w:r/>
    </w:p>
    <w:tbl>
      <w:tblPr>
        <w:tblStyle w:val="741"/>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698"/>
        <w:gridCol w:w="1467"/>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合同期</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服务内容</w:t>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合同金额</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tbRlV"/>
            <w:noWrap w:val="false"/>
          </w:tcPr>
          <w:p>
            <w:pPr>
              <w:ind w:left="113" w:right="113"/>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ind w:left="420"/>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4" w:space="0"/>
              <w:bottom w:val="single" w:color="auto" w:sz="6" w:space="0"/>
              <w:right w:val="single" w:color="auto" w:sz="4" w:space="0"/>
            </w:tcBorders>
            <w:tcW w:w="1698"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tc>
      </w:tr>
    </w:tbl>
    <w:p>
      <w:pPr>
        <w:ind w:left="420" w:right="357" w:hanging="400"/>
        <w:spacing w:before="120" w:line="400" w:lineRule="exac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注：业绩按招标要求提供，否则将不作为评审的依据。</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796"/>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732"/>
        <w:rPr>
          <w:rFonts w:ascii="宋体" w:hAnsi="宋体" w:eastAsia="宋体"/>
          <w:color w:val="auto"/>
          <w:sz w:val="24"/>
          <w:szCs w:val="24"/>
          <w:highlight w:val="none"/>
        </w:rPr>
      </w:pPr>
      <w:r/>
      <w:bookmarkStart w:id="82" w:name="_Toc166488934"/>
      <w:r/>
      <w:bookmarkStart w:id="83" w:name="_Toc166487084"/>
      <w:r>
        <w:rPr>
          <w:rFonts w:hint="eastAsia" w:ascii="宋体" w:hAnsi="宋体" w:eastAsia="宋体"/>
          <w:color w:val="auto"/>
          <w:sz w:val="24"/>
          <w:szCs w:val="24"/>
          <w:highlight w:val="none"/>
        </w:rPr>
        <w:t xml:space="preserve">附件</w:t>
      </w:r>
      <w:r>
        <w:rPr>
          <w:rFonts w:hint="eastAsia" w:ascii="宋体" w:hAnsi="宋体" w:eastAsia="宋体"/>
          <w:color w:val="auto"/>
          <w:sz w:val="24"/>
          <w:szCs w:val="24"/>
          <w:highlight w:val="none"/>
          <w:lang w:val="en-US" w:eastAsia="zh-CN"/>
        </w:rPr>
        <w:t xml:space="preserve">10</w:t>
      </w:r>
      <w:r>
        <w:rPr>
          <w:rFonts w:hint="eastAsia" w:ascii="宋体" w:hAnsi="宋体" w:eastAsia="宋体"/>
          <w:color w:val="auto"/>
          <w:sz w:val="24"/>
          <w:szCs w:val="24"/>
          <w:highlight w:val="none"/>
        </w:rPr>
        <w:t xml:space="preserve">：服务方案</w:t>
      </w:r>
      <w:bookmarkEnd w:id="82"/>
      <w:r/>
      <w:bookmarkEnd w:id="83"/>
      <w:r/>
      <w:r/>
    </w:p>
    <w:tbl>
      <w:tblPr>
        <w:tblStyle w:val="741"/>
        <w:tblW w:w="4896" w:type="pct"/>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1"/>
      </w:tblGrid>
      <w:tr>
        <w:trPr>
          <w:trHeight w:val="1054"/>
        </w:trPr>
        <w:tc>
          <w:tcPr>
            <w:tcBorders>
              <w:top w:val="single" w:color="auto" w:sz="4" w:space="0"/>
              <w:left w:val="single" w:color="auto" w:sz="4" w:space="0"/>
              <w:bottom w:val="single" w:color="auto" w:sz="4" w:space="0"/>
              <w:right w:val="single" w:color="auto" w:sz="4" w:space="0"/>
            </w:tcBorders>
            <w:tcW w:w="5000" w:type="pct"/>
            <w:textDirection w:val="lrTb"/>
            <w:noWrap w:val="false"/>
          </w:tcPr>
          <w:p>
            <w:pPr>
              <w:spacing w:line="360" w:lineRule="auto"/>
              <w:tabs>
                <w:tab w:val="left" w:pos="1320" w:leader="none"/>
              </w:tabs>
              <w:rPr>
                <w:rFonts w:ascii="宋体" w:hAnsi="宋体"/>
                <w:color w:val="auto"/>
                <w:szCs w:val="21"/>
                <w:highlight w:val="none"/>
              </w:rPr>
            </w:pPr>
            <w:r>
              <w:rPr>
                <w:rFonts w:hint="eastAsia" w:ascii="宋体" w:hAnsi="宋体"/>
                <w:color w:val="auto"/>
                <w:szCs w:val="21"/>
                <w:highlight w:val="none"/>
              </w:rPr>
              <w:t xml:space="preserve">提示：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1、投标人可根据自身情况编写，本页不够可另加页附后。</w:t>
            </w:r>
            <w:r/>
          </w:p>
        </w:tc>
      </w:tr>
      <w:tr>
        <w:trPr>
          <w:trHeight w:val="9773"/>
        </w:trPr>
        <w:tc>
          <w:tcPr>
            <w:tcBorders>
              <w:top w:val="single" w:color="auto" w:sz="4" w:space="0"/>
              <w:left w:val="single" w:color="auto" w:sz="4" w:space="0"/>
              <w:bottom w:val="single" w:color="auto" w:sz="4" w:space="0"/>
              <w:right w:val="single" w:color="auto" w:sz="4" w:space="0"/>
            </w:tcBorders>
            <w:tcW w:w="5000" w:type="pct"/>
            <w:textDirection w:val="lrTb"/>
            <w:noWrap w:val="false"/>
          </w:tcPr>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spacing w:line="360" w:lineRule="auto"/>
              <w:tabs>
                <w:tab w:val="left" w:pos="1320" w:leader="none"/>
              </w:tabs>
              <w:rPr>
                <w:rFonts w:ascii="宋体" w:hAnsi="宋体"/>
                <w:color w:val="auto"/>
                <w:szCs w:val="21"/>
                <w:highlight w:val="none"/>
              </w:rPr>
            </w:pPr>
            <w:r>
              <w:rPr>
                <w:rFonts w:ascii="宋体" w:hAnsi="宋体"/>
                <w:color w:val="auto"/>
                <w:szCs w:val="21"/>
                <w:highlight w:val="none"/>
              </w:rPr>
            </w:r>
            <w:r/>
          </w:p>
          <w:p>
            <w:pPr>
              <w:ind w:firstLine="210"/>
              <w:spacing w:line="360" w:lineRule="auto"/>
              <w:tabs>
                <w:tab w:val="left" w:pos="1320" w:leader="none"/>
              </w:tabs>
              <w:rPr>
                <w:rFonts w:ascii="宋体" w:hAnsi="宋体"/>
                <w:color w:val="auto"/>
                <w:szCs w:val="21"/>
                <w:highlight w:val="none"/>
              </w:rPr>
            </w:pPr>
            <w:r>
              <w:rPr>
                <w:rFonts w:hint="eastAsia" w:ascii="宋体" w:hAnsi="宋体"/>
                <w:color w:val="auto"/>
                <w:szCs w:val="21"/>
                <w:highlight w:val="none"/>
              </w:rPr>
              <w:t xml:space="preserve">                                      单位名称（盖章）：</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732"/>
        <w:rPr>
          <w:rFonts w:ascii="宋体" w:hAnsi="宋体" w:eastAsia="宋体"/>
          <w:color w:val="auto"/>
          <w:sz w:val="24"/>
          <w:szCs w:val="24"/>
          <w:highlight w:val="none"/>
        </w:rPr>
      </w:pPr>
      <w:r/>
      <w:bookmarkStart w:id="84" w:name="_Toc166487085"/>
      <w:r/>
      <w:bookmarkStart w:id="85" w:name="_Toc166488935"/>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偏离表（技术、商务）</w:t>
      </w:r>
      <w:bookmarkEnd w:id="74"/>
      <w:r/>
      <w:bookmarkEnd w:id="75"/>
      <w:r/>
      <w:bookmarkEnd w:id="76"/>
      <w:r/>
      <w:bookmarkEnd w:id="84"/>
      <w:r/>
      <w:bookmarkEnd w:id="85"/>
      <w:r/>
      <w:r/>
    </w:p>
    <w:p>
      <w:pPr>
        <w:jc w:val="center"/>
        <w:rPr>
          <w:color w:val="auto"/>
          <w:highlight w:val="none"/>
        </w:rPr>
      </w:pPr>
      <w:r>
        <w:rPr>
          <w:rFonts w:hint="eastAsia"/>
          <w:color w:val="auto"/>
          <w:highlight w:val="none"/>
        </w:rPr>
        <w:t xml:space="preserve">偏离表（技术）</w:t>
      </w:r>
      <w:r/>
    </w:p>
    <w:p>
      <w:pPr>
        <w:jc w:val="center"/>
        <w:rPr>
          <w:color w:val="auto"/>
          <w:highlight w:val="none"/>
        </w:rPr>
      </w:pPr>
      <w:r>
        <w:rPr>
          <w:color w:val="auto"/>
          <w:highlight w:val="none"/>
        </w:rPr>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rHeight w:val="857"/>
        </w:trPr>
        <w:tc>
          <w:tcPr>
            <w:tcW w:w="1989" w:type="dxa"/>
            <w:textDirection w:val="lrTb"/>
            <w:noWrap w:val="false"/>
          </w:tcPr>
          <w:p>
            <w:pPr>
              <w:pStyle w:val="74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4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4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4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43"/>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项目内容</w:t>
            </w:r>
            <w:r/>
          </w:p>
        </w:tc>
        <w:tc>
          <w:tcPr>
            <w:tcW w:w="2138"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3"/>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3"/>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3"/>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2138"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3"/>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118"/>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118"/>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日期：年月日</w:t>
      </w:r>
      <w:r/>
    </w:p>
    <w:p>
      <w:pPr>
        <w:pStyle w:val="1118"/>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jc w:val="center"/>
        <w:rPr>
          <w:color w:val="auto"/>
          <w:highlight w:val="none"/>
        </w:rPr>
      </w:pPr>
      <w:r>
        <w:rPr>
          <w:rFonts w:hint="eastAsia"/>
          <w:color w:val="auto"/>
          <w:highlight w:val="none"/>
        </w:rPr>
        <w:t xml:space="preserve">偏离表（商务）</w:t>
      </w:r>
      <w:r/>
    </w:p>
    <w:p>
      <w:pPr>
        <w:jc w:val="center"/>
        <w:rPr>
          <w:color w:val="auto"/>
          <w:highlight w:val="none"/>
        </w:rPr>
      </w:pPr>
      <w:r>
        <w:rPr>
          <w:color w:val="auto"/>
          <w:highlight w:val="none"/>
        </w:rPr>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textDirection w:val="lrTb"/>
            <w:noWrap w:val="false"/>
          </w:tcPr>
          <w:p>
            <w:pPr>
              <w:pStyle w:val="74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w:t>
            </w:r>
            <w:r/>
          </w:p>
        </w:tc>
        <w:tc>
          <w:tcPr>
            <w:tcW w:w="2138" w:type="dxa"/>
            <w:textDirection w:val="lrTb"/>
            <w:noWrap w:val="false"/>
          </w:tcPr>
          <w:p>
            <w:pPr>
              <w:pStyle w:val="74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谈判要求</w:t>
            </w:r>
            <w:r/>
          </w:p>
        </w:tc>
        <w:tc>
          <w:tcPr>
            <w:tcW w:w="2139" w:type="dxa"/>
            <w:textDirection w:val="lrTb"/>
            <w:noWrap w:val="false"/>
          </w:tcPr>
          <w:p>
            <w:pPr>
              <w:pStyle w:val="74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262" w:type="dxa"/>
            <w:textDirection w:val="lrTb"/>
            <w:noWrap w:val="false"/>
          </w:tcPr>
          <w:p>
            <w:pPr>
              <w:pStyle w:val="743"/>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989" w:type="dxa"/>
            <w:textDirection w:val="lrTb"/>
            <w:noWrap w:val="false"/>
          </w:tcPr>
          <w:p>
            <w:pPr>
              <w:pStyle w:val="743"/>
              <w:ind w:firstLine="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lang w:val="en-US" w:eastAsia="zh-CN"/>
              </w:rPr>
              <w:t xml:space="preserve">交货期</w:t>
            </w:r>
            <w:r/>
          </w:p>
        </w:tc>
        <w:tc>
          <w:tcPr>
            <w:tcW w:w="2138"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3"/>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付款方式</w:t>
            </w:r>
            <w:r/>
          </w:p>
        </w:tc>
        <w:tc>
          <w:tcPr>
            <w:tcW w:w="2138"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3"/>
              <w:ind w:firstLine="0"/>
              <w:spacing w:line="360" w:lineRule="auto"/>
              <w:tabs>
                <w:tab w:val="center" w:pos="886" w:leader="none"/>
              </w:tabs>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98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8"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39"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62" w:type="dxa"/>
            <w:textDirection w:val="lrTb"/>
            <w:noWrap w:val="false"/>
          </w:tcPr>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pStyle w:val="743"/>
        <w:ind w:right="105" w:firstLine="0"/>
        <w:jc w:val="right"/>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jc w:val="right"/>
        <w:spacing w:line="360" w:lineRule="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pStyle w:val="1118"/>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法定代表人或代理人：（签字或盖章）</w:t>
      </w:r>
      <w:r/>
    </w:p>
    <w:p>
      <w:pPr>
        <w:pStyle w:val="1118"/>
        <w:ind w:left="-210" w:right="-210"/>
        <w:jc w:val="righ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日期：   年  月  日</w:t>
      </w:r>
      <w:r/>
    </w:p>
    <w:p>
      <w:pPr>
        <w:pStyle w:val="1118"/>
        <w:ind w:left="-210" w:right="-210"/>
        <w:jc w:val="right"/>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rPr>
          <w:color w:val="auto"/>
          <w:highlight w:val="none"/>
        </w:rPr>
      </w:pPr>
      <w:r>
        <w:rPr>
          <w:color w:val="auto"/>
          <w:highlight w:val="none"/>
        </w:rPr>
      </w:r>
      <w:r/>
    </w:p>
    <w:p>
      <w:pPr>
        <w:jc w:val="left"/>
        <w:widowControl/>
        <w:rPr>
          <w:rFonts w:ascii="宋体" w:hAnsi="宋体"/>
          <w:b/>
          <w:bCs/>
          <w:color w:val="auto"/>
          <w:sz w:val="24"/>
          <w:highlight w:val="none"/>
        </w:rPr>
      </w:pPr>
      <w:r>
        <w:rPr>
          <w:rFonts w:ascii="宋体" w:hAnsi="宋体"/>
          <w:color w:val="auto"/>
          <w:sz w:val="24"/>
          <w:highlight w:val="none"/>
        </w:rPr>
        <w:br w:type="page" w:clear="all"/>
      </w:r>
      <w:r/>
    </w:p>
    <w:p>
      <w:pPr>
        <w:pStyle w:val="732"/>
        <w:rPr>
          <w:rFonts w:ascii="宋体" w:hAnsi="宋体" w:eastAsia="宋体"/>
          <w:color w:val="auto"/>
          <w:sz w:val="24"/>
          <w:szCs w:val="24"/>
          <w:highlight w:val="none"/>
        </w:rPr>
      </w:pPr>
      <w:r/>
      <w:bookmarkStart w:id="86" w:name="_Toc166487086"/>
      <w:r/>
      <w:bookmarkStart w:id="87" w:name="_Toc166488936"/>
      <w:r>
        <w:rPr>
          <w:rFonts w:hint="eastAsia" w:ascii="宋体" w:hAnsi="宋体" w:eastAsia="宋体"/>
          <w:color w:val="auto"/>
          <w:sz w:val="24"/>
          <w:szCs w:val="24"/>
          <w:highlight w:val="none"/>
        </w:rPr>
        <w:t xml:space="preserve">附件1</w:t>
      </w:r>
      <w:r>
        <w:rPr>
          <w:rFonts w:hint="eastAsia" w:ascii="宋体" w:hAnsi="宋体" w:eastAsia="宋体"/>
          <w:color w:val="auto"/>
          <w:sz w:val="24"/>
          <w:szCs w:val="24"/>
          <w:highlight w:val="none"/>
          <w:lang w:val="en-US" w:eastAsia="zh-CN"/>
        </w:rPr>
        <w:t xml:space="preserve">2</w:t>
      </w:r>
      <w:r>
        <w:rPr>
          <w:rFonts w:hint="eastAsia" w:ascii="宋体" w:hAnsi="宋体" w:eastAsia="宋体"/>
          <w:color w:val="auto"/>
          <w:sz w:val="24"/>
          <w:szCs w:val="24"/>
          <w:highlight w:val="none"/>
        </w:rPr>
        <w:t xml:space="preserve">：资格证明声明函</w:t>
      </w:r>
      <w:bookmarkEnd w:id="86"/>
      <w:r/>
      <w:bookmarkEnd w:id="87"/>
      <w:r/>
      <w:r/>
    </w:p>
    <w:p>
      <w:pPr>
        <w:pStyle w:val="743"/>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关于资格文件的声明函</w:t>
      </w:r>
      <w:r/>
    </w:p>
    <w:p>
      <w:pPr>
        <w:pStyle w:val="743"/>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3"/>
        <w:ind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w:t>
      </w:r>
      <w:r/>
    </w:p>
    <w:p>
      <w:pPr>
        <w:pStyle w:val="743"/>
        <w:ind w:firstLine="66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4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pStyle w:val="743"/>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供应商：（单位盖章）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420"/>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年</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月</w:t>
      </w:r>
      <w:r>
        <w:rPr>
          <w:rFonts w:ascii="宋体" w:hAnsi="宋体" w:cs="宋体"/>
          <w:color w:val="auto"/>
          <w:szCs w:val="21"/>
          <w:highlight w:val="none"/>
          <w:lang w:val="zh-CN"/>
        </w:rPr>
        <w:t xml:space="preserve">   </w:t>
      </w:r>
      <w:r>
        <w:rPr>
          <w:rFonts w:hint="eastAsia" w:ascii="宋体" w:hAnsi="宋体" w:cs="宋体"/>
          <w:color w:val="auto"/>
          <w:szCs w:val="21"/>
          <w:highlight w:val="none"/>
          <w:lang w:val="zh-CN"/>
        </w:rPr>
        <w:t xml:space="preserve">日        </w:t>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jc w:val="left"/>
        <w:widowControl/>
        <w:rPr>
          <w:rFonts w:ascii="宋体" w:hAnsi="宋体" w:cs="宋体"/>
          <w:b/>
          <w:bCs/>
          <w:color w:val="auto"/>
          <w:sz w:val="24"/>
          <w:highlight w:val="none"/>
        </w:rPr>
      </w:pPr>
      <w:r>
        <w:rPr>
          <w:rFonts w:ascii="宋体" w:hAnsi="宋体" w:cs="宋体"/>
          <w:color w:val="auto"/>
          <w:sz w:val="24"/>
          <w:highlight w:val="none"/>
          <w:lang w:val="zh-CN"/>
        </w:rPr>
        <w:br w:type="page" w:clear="all"/>
      </w:r>
      <w:r/>
    </w:p>
    <w:p>
      <w:pPr>
        <w:pStyle w:val="732"/>
        <w:rPr>
          <w:rFonts w:ascii="宋体" w:hAnsi="宋体" w:eastAsia="宋体"/>
          <w:color w:val="auto"/>
          <w:sz w:val="24"/>
          <w:szCs w:val="24"/>
          <w:highlight w:val="none"/>
        </w:rPr>
      </w:pPr>
      <w:r/>
      <w:bookmarkStart w:id="88" w:name="_Toc166488937"/>
      <w:r/>
      <w:bookmarkStart w:id="89" w:name="_Toc166487087"/>
      <w:r>
        <w:rPr>
          <w:rFonts w:hint="eastAsia" w:ascii="宋体" w:hAnsi="宋体" w:eastAsia="宋体"/>
          <w:color w:val="auto"/>
          <w:sz w:val="24"/>
          <w:szCs w:val="24"/>
          <w:highlight w:val="none"/>
          <w:lang w:val="zh-CN"/>
        </w:rPr>
        <w:t xml:space="preserve">附件1</w:t>
      </w:r>
      <w:r>
        <w:rPr>
          <w:rFonts w:hint="eastAsia" w:ascii="宋体" w:hAnsi="宋体" w:eastAsia="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rPr>
        <w:t xml:space="preserve">：</w:t>
      </w:r>
      <w:r>
        <w:rPr>
          <w:rFonts w:ascii="宋体" w:hAnsi="宋体" w:eastAsia="宋体"/>
          <w:color w:val="auto"/>
          <w:sz w:val="24"/>
          <w:szCs w:val="24"/>
          <w:highlight w:val="none"/>
        </w:rPr>
        <w:t xml:space="preserve">远程参与开标会议诚信承诺书</w:t>
      </w:r>
      <w:bookmarkEnd w:id="88"/>
      <w:r/>
      <w:bookmarkEnd w:id="89"/>
      <w:r/>
      <w:r/>
    </w:p>
    <w:p>
      <w:pPr>
        <w:pStyle w:val="743"/>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远程参与开标会议诚信承诺书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ascii="宋体" w:hAnsi="宋体"/>
          <w:color w:val="auto"/>
          <w:szCs w:val="21"/>
          <w:highlight w:val="none"/>
        </w:rPr>
      </w:pPr>
      <w:r>
        <w:rPr>
          <w:rFonts w:ascii="宋体" w:hAnsi="宋体"/>
          <w:color w:val="auto"/>
          <w:szCs w:val="21"/>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法定代表人</w:t>
      </w:r>
      <w:r>
        <w:rPr>
          <w:rFonts w:hint="eastAsia" w:ascii="宋体" w:hAnsi="宋体"/>
          <w:color w:val="auto"/>
          <w:szCs w:val="21"/>
          <w:highlight w:val="none"/>
        </w:rPr>
        <w:t xml:space="preserve">及</w:t>
      </w:r>
      <w:r>
        <w:rPr>
          <w:rFonts w:ascii="宋体" w:hAnsi="宋体"/>
          <w:color w:val="auto"/>
          <w:szCs w:val="21"/>
          <w:highlight w:val="none"/>
        </w:rPr>
        <w:t xml:space="preserve">授权委托人(签名):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rPr>
        <w:rStyle w:val="790"/>
      </w:rPr>
      <w:framePr w:wrap="around" w:vAnchor="text" w:hAnchor="margin" w:xAlign="center" w:y="1"/>
    </w:pPr>
    <w:r>
      <w:rPr>
        <w:rStyle w:val="790"/>
      </w:rPr>
      <w:fldChar w:fldCharType="begin"/>
    </w:r>
    <w:r>
      <w:rPr>
        <w:rStyle w:val="790"/>
      </w:rPr>
      <w:instrText xml:space="preserve">PAGE  </w:instrText>
    </w:r>
    <w:r>
      <w:rPr>
        <w:rStyle w:val="790"/>
      </w:rPr>
      <w:fldChar w:fldCharType="separate"/>
    </w:r>
    <w:r>
      <w:rPr>
        <w:rStyle w:val="790"/>
      </w:rPr>
      <w:t xml:space="preserve">14</w:t>
    </w:r>
    <w:r>
      <w:rPr>
        <w:rStyle w:val="790"/>
      </w:rPr>
      <w:fldChar w:fldCharType="end"/>
    </w:r>
    <w:r/>
  </w:p>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rPr>
        <w:rStyle w:val="790"/>
      </w:rPr>
      <w:framePr w:wrap="around" w:vAnchor="text" w:hAnchor="margin" w:xAlign="center" w:y="1"/>
    </w:pPr>
    <w:r>
      <w:rPr>
        <w:rStyle w:val="790"/>
      </w:rPr>
      <w:fldChar w:fldCharType="begin"/>
    </w:r>
    <w:r>
      <w:rPr>
        <w:rStyle w:val="790"/>
      </w:rPr>
      <w:instrText xml:space="preserve">PAGE  </w:instrText>
    </w:r>
    <w:r>
      <w:rPr>
        <w:rStyle w:val="790"/>
      </w:rPr>
      <w:fldChar w:fldCharType="end"/>
    </w:r>
    <w:r/>
  </w:p>
  <w:p>
    <w:pPr>
      <w:pStyle w:val="7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pPr>
    <w:r>
      <w:rPr>
        <w:rFonts w:hint="eastAsia"/>
      </w:rPr>
      <w:t xml:space="preserve">JSZC-320583-SZYE-T2025-0050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苏州宇恩</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15"/>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1">
    <w:multiLevelType w:val="hybridMultilevel"/>
    <w:lvl w:ilvl="0">
      <w:start w:val="1"/>
      <w:numFmt w:val="japaneseCounting"/>
      <w:pStyle w:val="100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chineseCountingThousand"/>
      <w:pStyle w:val="980"/>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81"/>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83"/>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4"/>
      <w:isLgl w:val="false"/>
      <w:suff w:val="tab"/>
      <w:lvlText w:val="%1．"/>
      <w:lvlJc w:val="left"/>
      <w:pPr>
        <w:ind w:left="720" w:hanging="720"/>
        <w:tabs>
          <w:tab w:val="left" w:pos="720" w:leader="none"/>
        </w:tabs>
      </w:pPr>
      <w:rPr>
        <w:rFonts w:hint="eastAsia"/>
      </w:rPr>
    </w:lvl>
    <w:lvl w:ilvl="1">
      <w:start w:val="1"/>
      <w:numFmt w:val="lowerLetter"/>
      <w:pStyle w:val="1104"/>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35"/>
      <w:isLgl w:val="false"/>
      <w:suff w:val="tab"/>
      <w:lvlText w:val="%5)"/>
      <w:lvlJc w:val="left"/>
      <w:pPr>
        <w:ind w:left="2100" w:hanging="420"/>
        <w:tabs>
          <w:tab w:val="left" w:pos="2100" w:leader="none"/>
        </w:tabs>
      </w:pPr>
    </w:lvl>
    <w:lvl w:ilvl="5">
      <w:start w:val="1"/>
      <w:numFmt w:val="lowerRoman"/>
      <w:pStyle w:val="736"/>
      <w:isLgl w:val="false"/>
      <w:suff w:val="tab"/>
      <w:lvlText w:val="%6."/>
      <w:lvlJc w:val="right"/>
      <w:pPr>
        <w:ind w:left="2520" w:hanging="420"/>
        <w:tabs>
          <w:tab w:val="left" w:pos="2520" w:leader="none"/>
        </w:tabs>
      </w:pPr>
    </w:lvl>
    <w:lvl w:ilvl="6">
      <w:start w:val="1"/>
      <w:numFmt w:val="decimal"/>
      <w:pStyle w:val="737"/>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100"/>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6">
    <w:multiLevelType w:val="hybridMultilevel"/>
    <w:lvl w:ilvl="0">
      <w:start w:val="1"/>
      <w:numFmt w:val="japaneseCounting"/>
      <w:pStyle w:val="1064"/>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9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87"/>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1">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99"/>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4"/>
  </w:num>
  <w:num w:numId="2">
    <w:abstractNumId w:val="2"/>
  </w:num>
  <w:num w:numId="3">
    <w:abstractNumId w:val="10"/>
  </w:num>
  <w:num w:numId="4">
    <w:abstractNumId w:val="1"/>
  </w:num>
  <w:num w:numId="5">
    <w:abstractNumId w:val="0"/>
  </w:num>
  <w:num w:numId="6">
    <w:abstractNumId w:val="6"/>
  </w:num>
  <w:num w:numId="7">
    <w:abstractNumId w:val="8"/>
  </w:num>
  <w:num w:numId="8">
    <w:abstractNumId w:val="12"/>
  </w:num>
  <w:num w:numId="9">
    <w:abstractNumId w:val="5"/>
  </w:num>
  <w:num w:numId="10">
    <w:abstractNumId w:val="3"/>
  </w:num>
  <w:num w:numId="11">
    <w:abstractNumId w:val="7"/>
  </w:num>
  <w:num w:numId="12">
    <w:abstractNumId w:val="1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1">
    <w:name w:val="Heading 1"/>
    <w:basedOn w:val="730"/>
    <w:next w:val="730"/>
    <w:link w:val="945"/>
    <w:uiPriority w:val="0"/>
    <w:qFormat/>
    <w:pPr>
      <w:keepLines/>
      <w:keepNext/>
      <w:spacing w:before="340" w:after="330" w:line="578" w:lineRule="auto"/>
      <w:outlineLvl w:val="0"/>
    </w:pPr>
    <w:rPr>
      <w:rFonts w:ascii="Calibri" w:hAnsi="Calibri"/>
      <w:b/>
      <w:bCs/>
      <w:sz w:val="44"/>
      <w:szCs w:val="44"/>
    </w:rPr>
  </w:style>
  <w:style w:type="paragraph" w:styleId="732">
    <w:name w:val="Heading 2"/>
    <w:basedOn w:val="730"/>
    <w:next w:val="730"/>
    <w:link w:val="946"/>
    <w:uiPriority w:val="0"/>
    <w:qFormat/>
    <w:pPr>
      <w:keepLines/>
      <w:keepNext/>
      <w:spacing w:before="260" w:after="260" w:line="416" w:lineRule="auto"/>
      <w:outlineLvl w:val="1"/>
    </w:pPr>
    <w:rPr>
      <w:rFonts w:ascii="Arial" w:hAnsi="Arial" w:eastAsia="黑体"/>
      <w:b/>
      <w:bCs/>
      <w:sz w:val="32"/>
      <w:szCs w:val="32"/>
    </w:rPr>
  </w:style>
  <w:style w:type="paragraph" w:styleId="733">
    <w:name w:val="Heading 3"/>
    <w:basedOn w:val="730"/>
    <w:next w:val="730"/>
    <w:link w:val="947"/>
    <w:uiPriority w:val="0"/>
    <w:qFormat/>
    <w:pPr>
      <w:keepLines/>
      <w:keepNext/>
      <w:spacing w:before="260" w:after="260" w:line="416" w:lineRule="auto"/>
      <w:outlineLvl w:val="2"/>
    </w:pPr>
    <w:rPr>
      <w:rFonts w:ascii="Calibri" w:hAnsi="Calibri"/>
      <w:b/>
      <w:bCs/>
      <w:sz w:val="32"/>
      <w:szCs w:val="32"/>
    </w:rPr>
  </w:style>
  <w:style w:type="paragraph" w:styleId="734">
    <w:name w:val="Heading 4"/>
    <w:basedOn w:val="730"/>
    <w:next w:val="730"/>
    <w:link w:val="948"/>
    <w:uiPriority w:val="0"/>
    <w:qFormat/>
    <w:pPr>
      <w:keepLines/>
      <w:keepNext/>
      <w:spacing w:before="280" w:after="290" w:line="374" w:lineRule="auto"/>
      <w:outlineLvl w:val="3"/>
    </w:pPr>
    <w:rPr>
      <w:rFonts w:ascii="Arial" w:hAnsi="Arial" w:eastAsia="黑体"/>
      <w:b/>
      <w:sz w:val="28"/>
      <w:szCs w:val="20"/>
    </w:rPr>
  </w:style>
  <w:style w:type="paragraph" w:styleId="735">
    <w:name w:val="Heading 5"/>
    <w:basedOn w:val="730"/>
    <w:next w:val="730"/>
    <w:link w:val="949"/>
    <w:uiPriority w:val="0"/>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36">
    <w:name w:val="Heading 6"/>
    <w:basedOn w:val="730"/>
    <w:next w:val="730"/>
    <w:link w:val="950"/>
    <w:uiPriority w:val="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37">
    <w:name w:val="Heading 7"/>
    <w:basedOn w:val="730"/>
    <w:next w:val="730"/>
    <w:link w:val="951"/>
    <w:uiPriority w:val="0"/>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38">
    <w:name w:val="Heading 8"/>
    <w:basedOn w:val="730"/>
    <w:next w:val="730"/>
    <w:link w:val="952"/>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39">
    <w:name w:val="Heading 9"/>
    <w:basedOn w:val="730"/>
    <w:next w:val="730"/>
    <w:link w:val="953"/>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0"/>
    <w:qFormat/>
    <w:pPr>
      <w:ind w:left="1440"/>
      <w:jc w:val="left"/>
      <w:spacing w:line="360" w:lineRule="auto"/>
    </w:pPr>
    <w:rPr>
      <w:rFonts w:ascii="Calibri" w:hAnsi="Calibri" w:cs="Calibri"/>
      <w:sz w:val="18"/>
      <w:szCs w:val="18"/>
    </w:rPr>
  </w:style>
  <w:style w:type="paragraph" w:styleId="743">
    <w:name w:val="Normal Indent"/>
    <w:basedOn w:val="730"/>
    <w:link w:val="954"/>
    <w:uiPriority w:val="0"/>
    <w:qFormat/>
    <w:pPr>
      <w:ind w:firstLine="420"/>
      <w:jc w:val="left"/>
    </w:pPr>
    <w:rPr>
      <w:rFonts w:ascii="Calibri" w:hAnsi="Calibri" w:eastAsia="楷体_GB2312"/>
      <w:sz w:val="24"/>
      <w:szCs w:val="20"/>
    </w:rPr>
  </w:style>
  <w:style w:type="paragraph" w:styleId="744">
    <w:name w:val="Caption"/>
    <w:basedOn w:val="730"/>
    <w:next w:val="730"/>
    <w:uiPriority w:val="0"/>
    <w:qFormat/>
    <w:pPr>
      <w:ind w:left="640" w:hanging="640"/>
      <w:jc w:val="center"/>
    </w:pPr>
    <w:rPr>
      <w:rFonts w:ascii="BankGothic Lt BT" w:hAnsi="BankGothic Lt BT" w:cs="Arial"/>
      <w:sz w:val="32"/>
    </w:rPr>
  </w:style>
  <w:style w:type="paragraph" w:styleId="745">
    <w:name w:val="Document Map"/>
    <w:basedOn w:val="730"/>
    <w:uiPriority w:val="0"/>
    <w:semiHidden/>
    <w:qFormat/>
    <w:pPr>
      <w:shd w:val="clear" w:color="auto" w:fill="000080"/>
    </w:pPr>
    <w:rPr>
      <w:szCs w:val="20"/>
    </w:rPr>
  </w:style>
  <w:style w:type="paragraph" w:styleId="746">
    <w:name w:val="annotation text"/>
    <w:basedOn w:val="730"/>
    <w:link w:val="1122"/>
    <w:uiPriority w:val="0"/>
    <w:semiHidden/>
    <w:unhideWhenUsed/>
    <w:qFormat/>
    <w:pPr>
      <w:jc w:val="left"/>
    </w:pPr>
  </w:style>
  <w:style w:type="paragraph" w:styleId="747">
    <w:name w:val="Salutation"/>
    <w:basedOn w:val="730"/>
    <w:next w:val="730"/>
    <w:uiPriority w:val="0"/>
    <w:qFormat/>
    <w:rPr>
      <w:rFonts w:ascii="宋体" w:hAnsi="宋体"/>
      <w:spacing w:val="20"/>
      <w:sz w:val="24"/>
      <w:szCs w:val="22"/>
      <w:lang w:eastAsia="en-US" w:bidi="en-US"/>
    </w:rPr>
  </w:style>
  <w:style w:type="paragraph" w:styleId="748">
    <w:name w:val="Body Text 3"/>
    <w:basedOn w:val="730"/>
    <w:uiPriority w:val="0"/>
    <w:qFormat/>
    <w:pPr>
      <w:ind w:firstLine="250"/>
      <w:spacing w:after="120" w:line="300" w:lineRule="auto"/>
    </w:pPr>
    <w:rPr>
      <w:sz w:val="16"/>
      <w:szCs w:val="16"/>
    </w:rPr>
  </w:style>
  <w:style w:type="paragraph" w:styleId="749">
    <w:name w:val="Closing"/>
    <w:basedOn w:val="730"/>
    <w:uiPriority w:val="0"/>
    <w:qFormat/>
    <w:pPr>
      <w:ind w:left="100"/>
    </w:pPr>
    <w:rPr>
      <w:rFonts w:ascii="宋体" w:hAnsi="宋体"/>
      <w:spacing w:val="20"/>
      <w:sz w:val="24"/>
      <w:szCs w:val="22"/>
      <w:lang w:eastAsia="en-US" w:bidi="en-US"/>
    </w:rPr>
  </w:style>
  <w:style w:type="paragraph" w:styleId="750">
    <w:name w:val="Body Text"/>
    <w:basedOn w:val="730"/>
    <w:link w:val="955"/>
    <w:uiPriority w:val="0"/>
    <w:qFormat/>
    <w:pPr>
      <w:tabs>
        <w:tab w:val="left" w:pos="5250" w:leader="none"/>
      </w:tabs>
    </w:pPr>
    <w:rPr>
      <w:rFonts w:ascii="Calibri" w:hAnsi="Calibri"/>
      <w:sz w:val="28"/>
    </w:rPr>
  </w:style>
  <w:style w:type="paragraph" w:styleId="751">
    <w:name w:val="Body Text Indent"/>
    <w:basedOn w:val="730"/>
    <w:next w:val="752"/>
    <w:link w:val="956"/>
    <w:uiPriority w:val="0"/>
    <w:qFormat/>
    <w:pPr>
      <w:ind w:left="570"/>
      <w:spacing w:line="520" w:lineRule="exact"/>
    </w:pPr>
    <w:rPr>
      <w:rFonts w:ascii="方正仿宋简体" w:hAnsi="创艺简仿宋" w:eastAsia="方正仿宋简体"/>
      <w:sz w:val="24"/>
      <w:szCs w:val="20"/>
    </w:rPr>
  </w:style>
  <w:style w:type="paragraph" w:styleId="752">
    <w:name w:val="envelope return"/>
    <w:uiPriority w:val="0"/>
    <w:qFormat/>
    <w:pPr>
      <w:jc w:val="both"/>
      <w:widowControl w:val="off"/>
    </w:pPr>
    <w:rPr>
      <w:rFonts w:ascii="Arial" w:hAnsi="Arial" w:eastAsia="宋体" w:cs="Times New Roman"/>
      <w:sz w:val="21"/>
      <w:lang w:val="en-US" w:eastAsia="zh-CN" w:bidi="ar-SA"/>
    </w:rPr>
  </w:style>
  <w:style w:type="paragraph" w:styleId="753">
    <w:name w:val="List 2"/>
    <w:basedOn w:val="730"/>
    <w:uiPriority w:val="0"/>
    <w:qFormat/>
    <w:pPr>
      <w:ind w:left="100" w:hanging="200"/>
    </w:pPr>
    <w:rPr>
      <w:lang w:eastAsia="en-US" w:bidi="en-US"/>
    </w:rPr>
  </w:style>
  <w:style w:type="paragraph" w:styleId="754">
    <w:name w:val="Block Text"/>
    <w:basedOn w:val="730"/>
    <w:uiPriority w:val="0"/>
    <w:qFormat/>
    <w:pPr>
      <w:ind w:left="113" w:right="113"/>
      <w:jc w:val="center"/>
    </w:pPr>
    <w:rPr>
      <w:rFonts w:ascii="仿宋_GB2312" w:eastAsia="仿宋_GB2312"/>
      <w:b/>
      <w:szCs w:val="20"/>
    </w:rPr>
  </w:style>
  <w:style w:type="paragraph" w:styleId="755">
    <w:name w:val="List Bullet 2"/>
    <w:basedOn w:val="730"/>
    <w:uiPriority w:val="0"/>
    <w:qFormat/>
    <w:pPr>
      <w:ind w:left="780" w:hanging="360"/>
      <w:tabs>
        <w:tab w:val="left" w:pos="780" w:leader="none"/>
      </w:tabs>
      <w:outlineLvl w:val="0"/>
    </w:pPr>
    <w:rPr>
      <w:color w:val="0000ff"/>
      <w:sz w:val="24"/>
      <w:szCs w:val="20"/>
    </w:rPr>
  </w:style>
  <w:style w:type="paragraph" w:styleId="756">
    <w:name w:val="toc 5"/>
    <w:basedOn w:val="730"/>
    <w:next w:val="730"/>
    <w:uiPriority w:val="0"/>
    <w:qFormat/>
    <w:pPr>
      <w:ind w:left="960"/>
      <w:jc w:val="left"/>
      <w:spacing w:line="360" w:lineRule="auto"/>
    </w:pPr>
    <w:rPr>
      <w:rFonts w:ascii="Calibri" w:hAnsi="Calibri" w:cs="Calibri"/>
      <w:sz w:val="18"/>
      <w:szCs w:val="18"/>
    </w:rPr>
  </w:style>
  <w:style w:type="paragraph" w:styleId="757">
    <w:name w:val="toc 3"/>
    <w:basedOn w:val="730"/>
    <w:next w:val="730"/>
    <w:uiPriority w:val="39"/>
    <w:qFormat/>
    <w:pPr>
      <w:ind w:left="840"/>
    </w:pPr>
  </w:style>
  <w:style w:type="paragraph" w:styleId="758">
    <w:name w:val="Plain Text"/>
    <w:basedOn w:val="730"/>
    <w:link w:val="957"/>
    <w:uiPriority w:val="0"/>
    <w:qFormat/>
    <w:rPr>
      <w:rFonts w:ascii="宋体" w:hAnsi="Courier New" w:eastAsia="楷体_GB2312"/>
      <w:sz w:val="28"/>
      <w:szCs w:val="20"/>
    </w:rPr>
  </w:style>
  <w:style w:type="paragraph" w:styleId="759">
    <w:name w:val="toc 8"/>
    <w:basedOn w:val="730"/>
    <w:next w:val="730"/>
    <w:uiPriority w:val="0"/>
    <w:qFormat/>
    <w:pPr>
      <w:ind w:left="1680"/>
      <w:jc w:val="left"/>
      <w:spacing w:line="360" w:lineRule="auto"/>
    </w:pPr>
    <w:rPr>
      <w:rFonts w:ascii="Calibri" w:hAnsi="Calibri" w:cs="Calibri"/>
      <w:sz w:val="18"/>
      <w:szCs w:val="18"/>
    </w:rPr>
  </w:style>
  <w:style w:type="paragraph" w:styleId="760">
    <w:name w:val="Date"/>
    <w:basedOn w:val="730"/>
    <w:next w:val="730"/>
    <w:link w:val="958"/>
    <w:uiPriority w:val="0"/>
    <w:qFormat/>
    <w:pPr>
      <w:ind w:left="100"/>
    </w:pPr>
    <w:rPr>
      <w:rFonts w:ascii="Calibri" w:hAnsi="Calibri"/>
      <w:sz w:val="28"/>
    </w:rPr>
  </w:style>
  <w:style w:type="paragraph" w:styleId="761">
    <w:name w:val="Body Text Indent 2"/>
    <w:basedOn w:val="730"/>
    <w:uiPriority w:val="0"/>
    <w:qFormat/>
    <w:pPr>
      <w:ind w:firstLine="570"/>
      <w:spacing w:line="520" w:lineRule="exact"/>
    </w:pPr>
    <w:rPr>
      <w:rFonts w:ascii="方正仿宋简体" w:hAnsi="创艺简仿宋" w:eastAsia="方正仿宋简体"/>
      <w:bCs/>
      <w:sz w:val="24"/>
      <w:szCs w:val="20"/>
    </w:rPr>
  </w:style>
  <w:style w:type="paragraph" w:styleId="762">
    <w:name w:val="endnote text"/>
    <w:basedOn w:val="730"/>
    <w:link w:val="943"/>
    <w:uiPriority w:val="99"/>
    <w:semiHidden/>
    <w:unhideWhenUsed/>
    <w:qFormat/>
    <w:rPr>
      <w:sz w:val="20"/>
    </w:rPr>
  </w:style>
  <w:style w:type="paragraph" w:styleId="763">
    <w:name w:val="Balloon Text"/>
    <w:basedOn w:val="730"/>
    <w:uiPriority w:val="0"/>
    <w:semiHidden/>
    <w:qFormat/>
    <w:rPr>
      <w:sz w:val="18"/>
      <w:szCs w:val="18"/>
    </w:rPr>
  </w:style>
  <w:style w:type="paragraph" w:styleId="764">
    <w:name w:val="Footer"/>
    <w:basedOn w:val="730"/>
    <w:link w:val="816"/>
    <w:uiPriority w:val="0"/>
    <w:qFormat/>
    <w:pPr>
      <w:jc w:val="left"/>
      <w:tabs>
        <w:tab w:val="center" w:pos="4153" w:leader="none"/>
        <w:tab w:val="right" w:pos="8306" w:leader="none"/>
      </w:tabs>
    </w:pPr>
    <w:rPr>
      <w:sz w:val="18"/>
      <w:szCs w:val="18"/>
    </w:rPr>
  </w:style>
  <w:style w:type="paragraph" w:styleId="765">
    <w:name w:val="Header"/>
    <w:basedOn w:val="730"/>
    <w:link w:val="959"/>
    <w:uiPriority w:val="0"/>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66">
    <w:name w:val="toc 1"/>
    <w:basedOn w:val="730"/>
    <w:next w:val="730"/>
    <w:uiPriority w:val="39"/>
    <w:qFormat/>
    <w:rPr>
      <w:sz w:val="30"/>
    </w:rPr>
  </w:style>
  <w:style w:type="paragraph" w:styleId="767">
    <w:name w:val="toc 4"/>
    <w:basedOn w:val="730"/>
    <w:next w:val="730"/>
    <w:uiPriority w:val="0"/>
    <w:qFormat/>
    <w:pPr>
      <w:ind w:left="720"/>
      <w:jc w:val="left"/>
      <w:spacing w:line="360" w:lineRule="auto"/>
    </w:pPr>
    <w:rPr>
      <w:rFonts w:ascii="Calibri" w:hAnsi="Calibri" w:cs="Calibri"/>
      <w:sz w:val="18"/>
      <w:szCs w:val="18"/>
    </w:rPr>
  </w:style>
  <w:style w:type="paragraph" w:styleId="768">
    <w:name w:val="index heading"/>
    <w:basedOn w:val="730"/>
    <w:next w:val="769"/>
    <w:uiPriority w:val="0"/>
    <w:semiHidden/>
    <w:qFormat/>
    <w:pPr>
      <w:jc w:val="left"/>
      <w:spacing w:after="200" w:line="276" w:lineRule="auto"/>
      <w:widowControl/>
    </w:pPr>
    <w:rPr>
      <w:rFonts w:ascii="Arial" w:hAnsi="Arial" w:cs="Arial"/>
      <w:b/>
      <w:bCs/>
      <w:sz w:val="22"/>
      <w:szCs w:val="22"/>
      <w:lang w:eastAsia="en-US" w:bidi="en-US"/>
    </w:rPr>
  </w:style>
  <w:style w:type="paragraph" w:styleId="769">
    <w:name w:val="index 1"/>
    <w:basedOn w:val="730"/>
    <w:next w:val="730"/>
    <w:uiPriority w:val="0"/>
    <w:qFormat/>
    <w:rPr>
      <w:b/>
      <w:bCs/>
    </w:rPr>
  </w:style>
  <w:style w:type="paragraph" w:styleId="770">
    <w:name w:val="Subtitle"/>
    <w:basedOn w:val="730"/>
    <w:next w:val="730"/>
    <w:link w:val="960"/>
    <w:uiPriority w:val="0"/>
    <w:qFormat/>
    <w:pPr>
      <w:jc w:val="left"/>
      <w:spacing w:after="200" w:line="276" w:lineRule="auto"/>
      <w:widowControl/>
    </w:pPr>
    <w:rPr>
      <w:rFonts w:ascii="Calibri" w:hAnsi="Calibri"/>
    </w:rPr>
  </w:style>
  <w:style w:type="paragraph" w:styleId="771">
    <w:name w:val="List"/>
    <w:basedOn w:val="730"/>
    <w:uiPriority w:val="0"/>
    <w:qFormat/>
    <w:pPr>
      <w:ind w:left="420" w:hanging="420"/>
    </w:pPr>
    <w:rPr>
      <w:szCs w:val="20"/>
    </w:rPr>
  </w:style>
  <w:style w:type="paragraph" w:styleId="772">
    <w:name w:val="footnote text"/>
    <w:basedOn w:val="730"/>
    <w:link w:val="942"/>
    <w:uiPriority w:val="99"/>
    <w:semiHidden/>
    <w:unhideWhenUsed/>
    <w:qFormat/>
    <w:pPr>
      <w:spacing w:after="40"/>
    </w:pPr>
    <w:rPr>
      <w:sz w:val="18"/>
    </w:rPr>
  </w:style>
  <w:style w:type="paragraph" w:styleId="773">
    <w:name w:val="toc 6"/>
    <w:basedOn w:val="730"/>
    <w:next w:val="730"/>
    <w:uiPriority w:val="0"/>
    <w:qFormat/>
    <w:pPr>
      <w:ind w:left="2100"/>
    </w:pPr>
  </w:style>
  <w:style w:type="paragraph" w:styleId="774">
    <w:name w:val="Body Text Indent 3"/>
    <w:basedOn w:val="730"/>
    <w:uiPriority w:val="0"/>
    <w:qFormat/>
    <w:pPr>
      <w:ind w:left="659"/>
      <w:spacing w:line="360" w:lineRule="auto"/>
    </w:pPr>
    <w:rPr>
      <w:rFonts w:ascii="宋体" w:hAnsi="宋体"/>
      <w:sz w:val="24"/>
    </w:rPr>
  </w:style>
  <w:style w:type="paragraph" w:styleId="775">
    <w:name w:val="table of figures"/>
    <w:basedOn w:val="730"/>
    <w:next w:val="730"/>
    <w:uiPriority w:val="99"/>
    <w:unhideWhenUsed/>
    <w:qFormat/>
  </w:style>
  <w:style w:type="paragraph" w:styleId="776">
    <w:name w:val="toc 2"/>
    <w:basedOn w:val="730"/>
    <w:next w:val="730"/>
    <w:uiPriority w:val="39"/>
    <w:qFormat/>
    <w:pPr>
      <w:ind w:left="420"/>
    </w:pPr>
  </w:style>
  <w:style w:type="paragraph" w:styleId="777">
    <w:name w:val="toc 9"/>
    <w:basedOn w:val="730"/>
    <w:next w:val="730"/>
    <w:uiPriority w:val="0"/>
    <w:qFormat/>
    <w:pPr>
      <w:ind w:left="1920"/>
      <w:jc w:val="left"/>
      <w:spacing w:line="360" w:lineRule="auto"/>
    </w:pPr>
    <w:rPr>
      <w:rFonts w:ascii="Calibri" w:hAnsi="Calibri" w:cs="Calibri"/>
      <w:sz w:val="18"/>
      <w:szCs w:val="18"/>
    </w:rPr>
  </w:style>
  <w:style w:type="paragraph" w:styleId="778">
    <w:name w:val="Body Text 2"/>
    <w:basedOn w:val="730"/>
    <w:uiPriority w:val="0"/>
    <w:qFormat/>
    <w:pPr>
      <w:spacing w:after="120" w:line="480" w:lineRule="auto"/>
    </w:pPr>
  </w:style>
  <w:style w:type="paragraph" w:styleId="779">
    <w:name w:val="List Continue 2"/>
    <w:basedOn w:val="730"/>
    <w:uiPriority w:val="0"/>
    <w:qFormat/>
    <w:pPr>
      <w:ind w:left="840"/>
      <w:spacing w:after="120"/>
    </w:pPr>
    <w:rPr>
      <w:lang w:eastAsia="en-US" w:bidi="en-US"/>
    </w:rPr>
  </w:style>
  <w:style w:type="paragraph" w:styleId="780">
    <w:name w:val="Normal (Web)"/>
    <w:basedOn w:val="730"/>
    <w:uiPriority w:val="0"/>
    <w:semiHidden/>
    <w:unhideWhenUsed/>
    <w:qFormat/>
    <w:pPr>
      <w:jc w:val="left"/>
      <w:spacing w:before="100" w:beforeAutospacing="1" w:after="100" w:afterAutospacing="1"/>
      <w:widowControl/>
    </w:pPr>
    <w:rPr>
      <w:rFonts w:ascii="宋体" w:hAnsi="宋体" w:cs="宋体"/>
      <w:sz w:val="24"/>
    </w:rPr>
  </w:style>
  <w:style w:type="paragraph" w:styleId="781">
    <w:name w:val="Title"/>
    <w:basedOn w:val="730"/>
    <w:next w:val="730"/>
    <w:link w:val="810"/>
    <w:uiPriority w:val="0"/>
    <w:qFormat/>
    <w:pPr>
      <w:contextualSpacing/>
      <w:jc w:val="left"/>
      <w:spacing w:after="300"/>
      <w:widowControl/>
    </w:pPr>
    <w:rPr>
      <w:rFonts w:ascii="Cambria" w:hAnsi="Cambria"/>
      <w:smallCaps/>
      <w:sz w:val="52"/>
      <w:szCs w:val="52"/>
      <w:lang w:eastAsia="en-US" w:bidi="en-US"/>
    </w:rPr>
  </w:style>
  <w:style w:type="paragraph" w:styleId="782">
    <w:name w:val="annotation subject"/>
    <w:basedOn w:val="746"/>
    <w:next w:val="746"/>
    <w:link w:val="1125"/>
    <w:uiPriority w:val="0"/>
    <w:semiHidden/>
    <w:unhideWhenUsed/>
    <w:qFormat/>
    <w:rPr>
      <w:b/>
      <w:bCs/>
    </w:rPr>
  </w:style>
  <w:style w:type="paragraph" w:styleId="783">
    <w:name w:val="Body Text First Indent"/>
    <w:next w:val="784"/>
    <w:link w:val="961"/>
    <w:uiPriority w:val="0"/>
    <w:semiHidden/>
    <w:unhideWhenUsed/>
    <w:qFormat/>
    <w:pPr>
      <w:ind w:firstLine="420"/>
      <w:spacing w:before="200" w:after="120" w:line="276" w:lineRule="auto"/>
    </w:pPr>
    <w:rPr>
      <w:rFonts w:ascii="Cambria" w:hAnsi="Cambria" w:eastAsia="宋体" w:cs="Times New Roman"/>
      <w:sz w:val="21"/>
      <w:szCs w:val="24"/>
      <w:lang w:val="en-US" w:eastAsia="zh-CN" w:bidi="ar-SA"/>
    </w:rPr>
  </w:style>
  <w:style w:type="paragraph" w:styleId="784" w:customStyle="1">
    <w:name w:val="样式 正文首行缩进 + 首行缩进:  1 字符"/>
    <w:basedOn w:val="730"/>
    <w:next w:val="765"/>
    <w:uiPriority w:val="0"/>
    <w:qFormat/>
    <w:pPr>
      <w:ind w:firstLine="200"/>
      <w:jc w:val="left"/>
      <w:spacing w:after="40" w:line="276" w:lineRule="auto"/>
      <w:widowControl/>
    </w:pPr>
    <w:rPr>
      <w:rFonts w:ascii="Cambria" w:hAnsi="Cambria"/>
      <w:sz w:val="22"/>
      <w:szCs w:val="20"/>
      <w:lang w:eastAsia="en-US" w:bidi="en-US"/>
    </w:rPr>
  </w:style>
  <w:style w:type="paragraph" w:styleId="785">
    <w:name w:val="Body Text First Indent 2"/>
    <w:uiPriority w:val="0"/>
    <w:qFormat/>
    <w:pPr>
      <w:ind w:left="420" w:firstLine="420"/>
      <w:jc w:val="both"/>
      <w:widowControl w:val="off"/>
    </w:pPr>
    <w:rPr>
      <w:rFonts w:ascii="Times New Roman" w:hAnsi="Times New Roman" w:eastAsia="宋体" w:cs="Times New Roman"/>
      <w:sz w:val="21"/>
      <w:lang w:val="en-US" w:eastAsia="zh-CN" w:bidi="ar-SA"/>
    </w:rPr>
  </w:style>
  <w:style w:type="table" w:styleId="786">
    <w:name w:val="Table Grid"/>
    <w:basedOn w:val="74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7">
    <w:name w:val="Table Theme"/>
    <w:basedOn w:val="7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8">
    <w:name w:val="Strong"/>
    <w:uiPriority w:val="22"/>
    <w:qFormat/>
    <w:rPr>
      <w:b/>
      <w:bCs/>
    </w:rPr>
  </w:style>
  <w:style w:type="character" w:styleId="789">
    <w:name w:val="endnote reference"/>
    <w:basedOn w:val="740"/>
    <w:uiPriority w:val="99"/>
    <w:semiHidden/>
    <w:unhideWhenUsed/>
    <w:qFormat/>
    <w:rPr>
      <w:vertAlign w:val="superscript"/>
    </w:rPr>
  </w:style>
  <w:style w:type="character" w:styleId="790">
    <w:name w:val="page number"/>
    <w:basedOn w:val="740"/>
    <w:uiPriority w:val="0"/>
    <w:qFormat/>
  </w:style>
  <w:style w:type="character" w:styleId="791">
    <w:name w:val="FollowedHyperlink"/>
    <w:uiPriority w:val="99"/>
    <w:qFormat/>
    <w:rPr>
      <w:color w:val="800080"/>
      <w:u w:val="single"/>
    </w:rPr>
  </w:style>
  <w:style w:type="character" w:styleId="792">
    <w:name w:val="Emphasis"/>
    <w:basedOn w:val="740"/>
    <w:uiPriority w:val="0"/>
    <w:qFormat/>
  </w:style>
  <w:style w:type="character" w:styleId="793">
    <w:name w:val="Hyperlink"/>
    <w:uiPriority w:val="99"/>
    <w:qFormat/>
    <w:rPr>
      <w:color w:val="0000ff"/>
      <w:u w:val="single"/>
    </w:rPr>
  </w:style>
  <w:style w:type="character" w:styleId="794">
    <w:name w:val="annotation reference"/>
    <w:basedOn w:val="740"/>
    <w:uiPriority w:val="0"/>
    <w:semiHidden/>
    <w:unhideWhenUsed/>
    <w:qFormat/>
    <w:rPr>
      <w:sz w:val="21"/>
      <w:szCs w:val="21"/>
    </w:rPr>
  </w:style>
  <w:style w:type="character" w:styleId="795">
    <w:name w:val="footnote reference"/>
    <w:basedOn w:val="740"/>
    <w:uiPriority w:val="99"/>
    <w:unhideWhenUsed/>
    <w:qFormat/>
    <w:rPr>
      <w:vertAlign w:val="superscript"/>
    </w:rPr>
  </w:style>
  <w:style w:type="paragraph" w:styleId="796" w:customStyle="1">
    <w:name w:val="正文文本11"/>
    <w:uiPriority w:val="0"/>
    <w:qFormat/>
    <w:pPr>
      <w:jc w:val="both"/>
      <w:spacing w:line="400" w:lineRule="exact"/>
      <w:widowControl w:val="off"/>
    </w:pPr>
    <w:rPr>
      <w:rFonts w:hint="default" w:ascii="楷体_GB2312" w:hAnsi="Times New Roman" w:eastAsia="楷体_GB2312" w:cs="Times New Roman"/>
      <w:sz w:val="28"/>
      <w:szCs w:val="20"/>
      <w:lang w:val="en-US" w:eastAsia="zh-CN" w:bidi="ar-SA"/>
    </w:rPr>
  </w:style>
  <w:style w:type="character" w:styleId="797" w:customStyle="1">
    <w:name w:val="Title Char"/>
    <w:basedOn w:val="740"/>
    <w:uiPriority w:val="10"/>
    <w:qFormat/>
    <w:rPr>
      <w:sz w:val="48"/>
      <w:szCs w:val="48"/>
    </w:rPr>
  </w:style>
  <w:style w:type="character" w:styleId="798" w:customStyle="1">
    <w:name w:val="Caption Char"/>
    <w:uiPriority w:val="99"/>
    <w:qFormat/>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标题1"/>
    <w:uiPriority w:val="39"/>
    <w:unhideWhenUsed/>
    <w:qFormat/>
    <w:rPr>
      <w:rFonts w:ascii="Calibri" w:hAnsi="Calibri" w:eastAsia="宋体" w:cs="Times New Roman"/>
      <w:lang w:val="en-US" w:eastAsia="zh-CN" w:bidi="ar-SA"/>
    </w:rPr>
  </w:style>
  <w:style w:type="character" w:styleId="802" w:customStyle="1">
    <w:name w:val="Heading 1 Char"/>
    <w:basedOn w:val="740"/>
    <w:uiPriority w:val="9"/>
    <w:qFormat/>
    <w:rPr>
      <w:rFonts w:ascii="Arial" w:hAnsi="Arial" w:eastAsia="Arial" w:cs="Arial"/>
      <w:sz w:val="40"/>
      <w:szCs w:val="40"/>
    </w:rPr>
  </w:style>
  <w:style w:type="character" w:styleId="803" w:customStyle="1">
    <w:name w:val="Heading 2 Char"/>
    <w:basedOn w:val="740"/>
    <w:uiPriority w:val="9"/>
    <w:qFormat/>
    <w:rPr>
      <w:rFonts w:ascii="Arial" w:hAnsi="Arial" w:eastAsia="Arial" w:cs="Arial"/>
      <w:sz w:val="34"/>
    </w:rPr>
  </w:style>
  <w:style w:type="character" w:styleId="804" w:customStyle="1">
    <w:name w:val="Heading 4 Char"/>
    <w:basedOn w:val="740"/>
    <w:uiPriority w:val="9"/>
    <w:qFormat/>
    <w:rPr>
      <w:rFonts w:ascii="Arial" w:hAnsi="Arial" w:eastAsia="Arial" w:cs="Arial"/>
      <w:b/>
      <w:bCs/>
      <w:sz w:val="26"/>
      <w:szCs w:val="26"/>
    </w:rPr>
  </w:style>
  <w:style w:type="character" w:styleId="805" w:customStyle="1">
    <w:name w:val="Heading 5 Char"/>
    <w:basedOn w:val="740"/>
    <w:uiPriority w:val="9"/>
    <w:qFormat/>
    <w:rPr>
      <w:rFonts w:ascii="Arial" w:hAnsi="Arial" w:eastAsia="Arial" w:cs="Arial"/>
      <w:b/>
      <w:bCs/>
      <w:sz w:val="24"/>
      <w:szCs w:val="24"/>
    </w:rPr>
  </w:style>
  <w:style w:type="character" w:styleId="806" w:customStyle="1">
    <w:name w:val="Heading 6 Char"/>
    <w:basedOn w:val="740"/>
    <w:uiPriority w:val="9"/>
    <w:qFormat/>
    <w:rPr>
      <w:rFonts w:ascii="Arial" w:hAnsi="Arial" w:eastAsia="Arial" w:cs="Arial"/>
      <w:b/>
      <w:bCs/>
      <w:sz w:val="22"/>
      <w:szCs w:val="22"/>
    </w:rPr>
  </w:style>
  <w:style w:type="character" w:styleId="807" w:customStyle="1">
    <w:name w:val="Heading 7 Char"/>
    <w:basedOn w:val="740"/>
    <w:uiPriority w:val="9"/>
    <w:qFormat/>
    <w:rPr>
      <w:rFonts w:ascii="Arial" w:hAnsi="Arial" w:eastAsia="Arial" w:cs="Arial"/>
      <w:b/>
      <w:bCs/>
      <w:i/>
      <w:iCs/>
      <w:sz w:val="22"/>
      <w:szCs w:val="22"/>
    </w:rPr>
  </w:style>
  <w:style w:type="character" w:styleId="808" w:customStyle="1">
    <w:name w:val="Heading 8 Char"/>
    <w:basedOn w:val="740"/>
    <w:uiPriority w:val="9"/>
    <w:qFormat/>
    <w:rPr>
      <w:rFonts w:ascii="Arial" w:hAnsi="Arial" w:eastAsia="Arial" w:cs="Arial"/>
      <w:i/>
      <w:iCs/>
      <w:sz w:val="22"/>
      <w:szCs w:val="22"/>
    </w:rPr>
  </w:style>
  <w:style w:type="character" w:styleId="809" w:customStyle="1">
    <w:name w:val="Heading 9 Char"/>
    <w:basedOn w:val="740"/>
    <w:uiPriority w:val="9"/>
    <w:qFormat/>
    <w:rPr>
      <w:rFonts w:ascii="Arial" w:hAnsi="Arial" w:eastAsia="Arial" w:cs="Arial"/>
      <w:i/>
      <w:iCs/>
      <w:sz w:val="21"/>
      <w:szCs w:val="21"/>
    </w:rPr>
  </w:style>
  <w:style w:type="character" w:styleId="810" w:customStyle="1">
    <w:name w:val="标题 字符"/>
    <w:basedOn w:val="740"/>
    <w:link w:val="781"/>
    <w:uiPriority w:val="10"/>
    <w:qFormat/>
    <w:rPr>
      <w:sz w:val="48"/>
      <w:szCs w:val="48"/>
    </w:rPr>
  </w:style>
  <w:style w:type="character" w:styleId="811" w:customStyle="1">
    <w:name w:val="Subtitle Char"/>
    <w:basedOn w:val="740"/>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character" w:styleId="814" w:customStyle="1">
    <w:name w:val="Header Char"/>
    <w:basedOn w:val="740"/>
    <w:uiPriority w:val="99"/>
    <w:qFormat/>
  </w:style>
  <w:style w:type="character" w:styleId="815" w:customStyle="1">
    <w:name w:val="Footer Char"/>
    <w:basedOn w:val="740"/>
    <w:uiPriority w:val="99"/>
    <w:qFormat/>
  </w:style>
  <w:style w:type="character" w:styleId="816" w:customStyle="1">
    <w:name w:val="页脚 字符"/>
    <w:link w:val="764"/>
    <w:uiPriority w:val="99"/>
    <w:qFormat/>
  </w:style>
  <w:style w:type="table" w:styleId="817" w:customStyle="1">
    <w:name w:val="Table Grid Light"/>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8"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3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无格式表格 4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无格式表格 51"/>
    <w:basedOn w:val="74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4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4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4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4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4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4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4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6" w:customStyle="1">
    <w:name w:val="Grid Table 4 - Accent 2"/>
    <w:basedOn w:val="74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7" w:customStyle="1">
    <w:name w:val="Grid Table 4 - Accent 3"/>
    <w:basedOn w:val="74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4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9" w:customStyle="1">
    <w:name w:val="Grid Table 4 - Accent 5"/>
    <w:basedOn w:val="74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0" w:customStyle="1">
    <w:name w:val="Grid Table 4 - Accent 6"/>
    <w:basedOn w:val="74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basedOn w:val="74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4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2" w:customStyle="1">
    <w:name w:val="Grid Table 6 Colorful - Accent 4"/>
    <w:basedOn w:val="7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4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6 Colorful - Accent 6"/>
    <w:basedOn w:val="74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4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4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4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4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4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4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清单表 1 浅色1"/>
    <w:basedOn w:val="74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4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4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4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4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4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4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4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1" w:customStyle="1">
    <w:name w:val="List Table 2 - Accent 2"/>
    <w:basedOn w:val="74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2" w:customStyle="1">
    <w:name w:val="List Table 2 - Accent 3"/>
    <w:basedOn w:val="74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3" w:customStyle="1">
    <w:name w:val="List Table 2 - Accent 4"/>
    <w:basedOn w:val="74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4" w:customStyle="1">
    <w:name w:val="List Table 2 - Accent 5"/>
    <w:basedOn w:val="74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5" w:customStyle="1">
    <w:name w:val="List Table 2 - Accent 6"/>
    <w:basedOn w:val="74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6"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4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74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4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4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4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4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4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4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4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4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4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4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basedOn w:val="74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74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74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74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74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74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清单表 6 彩色1"/>
    <w:basedOn w:val="74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basedOn w:val="74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74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74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74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74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74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清单表 7 彩色1"/>
    <w:basedOn w:val="74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4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4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4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4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4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4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Lined - Accent 2"/>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Lined - Accent 3"/>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Lined - Accent 5"/>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4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4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4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Bordered &amp; Lined - Accent 2"/>
    <w:basedOn w:val="74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Bordered &amp; Lined - Accent 3"/>
    <w:basedOn w:val="74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4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Bordered &amp; Lined - Accent 5"/>
    <w:basedOn w:val="74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4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4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4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4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8" w:customStyle="1">
    <w:name w:val="Bordered - Accent 3"/>
    <w:basedOn w:val="74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4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0" w:customStyle="1">
    <w:name w:val="Bordered - Accent 5"/>
    <w:basedOn w:val="74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1" w:customStyle="1">
    <w:name w:val="Bordered - Accent 6"/>
    <w:basedOn w:val="74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脚注文本 字符"/>
    <w:link w:val="772"/>
    <w:uiPriority w:val="99"/>
    <w:qFormat/>
    <w:rPr>
      <w:sz w:val="18"/>
    </w:rPr>
  </w:style>
  <w:style w:type="character" w:styleId="943" w:customStyle="1">
    <w:name w:val="尾注文本 字符"/>
    <w:link w:val="762"/>
    <w:uiPriority w:val="99"/>
    <w:qFormat/>
    <w:rPr>
      <w:sz w:val="20"/>
    </w:rPr>
  </w:style>
  <w:style w:type="paragraph" w:styleId="944" w:customStyle="1">
    <w:name w:val="TOC 标题111"/>
    <w:uiPriority w:val="39"/>
    <w:unhideWhenUsed/>
    <w:qFormat/>
    <w:rPr>
      <w:rFonts w:ascii="Calibri" w:hAnsi="Calibri" w:eastAsia="宋体" w:cs="Times New Roman"/>
      <w:lang w:val="en-US" w:eastAsia="zh-CN" w:bidi="ar-SA"/>
    </w:rPr>
  </w:style>
  <w:style w:type="character" w:styleId="945" w:customStyle="1">
    <w:name w:val="标题 1 字符"/>
    <w:link w:val="731"/>
    <w:uiPriority w:val="0"/>
    <w:qFormat/>
    <w:rPr>
      <w:rFonts w:ascii="Calibri" w:hAnsi="Calibri" w:eastAsia="宋体"/>
      <w:b/>
      <w:bCs/>
      <w:sz w:val="44"/>
      <w:szCs w:val="44"/>
      <w:lang w:val="en-US" w:eastAsia="zh-CN" w:bidi="ar-SA"/>
    </w:rPr>
  </w:style>
  <w:style w:type="character" w:styleId="946" w:customStyle="1">
    <w:name w:val="标题 2 字符1"/>
    <w:link w:val="732"/>
    <w:uiPriority w:val="0"/>
    <w:qFormat/>
    <w:rPr>
      <w:rFonts w:ascii="Arial" w:hAnsi="Arial" w:eastAsia="黑体"/>
      <w:b/>
      <w:bCs/>
      <w:sz w:val="32"/>
      <w:szCs w:val="32"/>
      <w:lang w:val="en-US" w:eastAsia="zh-CN" w:bidi="ar-SA"/>
    </w:rPr>
  </w:style>
  <w:style w:type="character" w:styleId="947" w:customStyle="1">
    <w:name w:val="标题 3 字符"/>
    <w:link w:val="733"/>
    <w:uiPriority w:val="0"/>
    <w:qFormat/>
    <w:rPr>
      <w:rFonts w:eastAsia="宋体"/>
      <w:b/>
      <w:bCs/>
      <w:sz w:val="32"/>
      <w:szCs w:val="32"/>
      <w:lang w:val="en-US" w:eastAsia="zh-CN" w:bidi="ar-SA"/>
    </w:rPr>
  </w:style>
  <w:style w:type="character" w:styleId="948" w:customStyle="1">
    <w:name w:val="标题 4 字符"/>
    <w:link w:val="734"/>
    <w:uiPriority w:val="0"/>
    <w:qFormat/>
    <w:rPr>
      <w:rFonts w:ascii="Arial" w:hAnsi="Arial" w:eastAsia="黑体"/>
      <w:b/>
      <w:sz w:val="28"/>
      <w:lang w:val="en-US" w:eastAsia="zh-CN" w:bidi="ar-SA"/>
    </w:rPr>
  </w:style>
  <w:style w:type="character" w:styleId="949" w:customStyle="1">
    <w:name w:val="标题 5 字符"/>
    <w:link w:val="735"/>
    <w:uiPriority w:val="0"/>
    <w:qFormat/>
    <w:rPr>
      <w:rFonts w:eastAsia="宋体"/>
      <w:b/>
      <w:sz w:val="24"/>
      <w:lang w:val="en-US" w:eastAsia="zh-CN" w:bidi="ar-SA"/>
    </w:rPr>
  </w:style>
  <w:style w:type="character" w:styleId="950" w:customStyle="1">
    <w:name w:val="标题 6 字符"/>
    <w:link w:val="736"/>
    <w:uiPriority w:val="0"/>
    <w:qFormat/>
    <w:rPr>
      <w:rFonts w:eastAsia="宋体"/>
      <w:b/>
      <w:sz w:val="24"/>
      <w:lang w:val="en-US" w:eastAsia="zh-CN" w:bidi="ar-SA"/>
    </w:rPr>
  </w:style>
  <w:style w:type="character" w:styleId="951" w:customStyle="1">
    <w:name w:val="标题 7 字符"/>
    <w:link w:val="737"/>
    <w:uiPriority w:val="0"/>
    <w:qFormat/>
    <w:rPr>
      <w:rFonts w:eastAsia="宋体"/>
      <w:b/>
      <w:sz w:val="24"/>
      <w:lang w:val="en-US" w:eastAsia="zh-CN" w:bidi="ar-SA"/>
    </w:rPr>
  </w:style>
  <w:style w:type="character" w:styleId="952" w:customStyle="1">
    <w:name w:val="标题 8 字符"/>
    <w:link w:val="738"/>
    <w:uiPriority w:val="0"/>
    <w:qFormat/>
    <w:rPr>
      <w:rFonts w:ascii="Arial" w:hAnsi="Arial" w:eastAsia="黑体"/>
      <w:sz w:val="24"/>
      <w:szCs w:val="24"/>
      <w:lang w:val="en-US" w:eastAsia="zh-CN" w:bidi="ar-SA"/>
    </w:rPr>
  </w:style>
  <w:style w:type="character" w:styleId="953" w:customStyle="1">
    <w:name w:val="标题 9 字符"/>
    <w:link w:val="739"/>
    <w:uiPriority w:val="0"/>
    <w:qFormat/>
    <w:rPr>
      <w:rFonts w:ascii="Arial" w:hAnsi="Arial" w:eastAsia="黑体"/>
      <w:sz w:val="21"/>
      <w:szCs w:val="21"/>
      <w:lang w:val="en-US" w:eastAsia="zh-CN" w:bidi="ar-SA"/>
    </w:rPr>
  </w:style>
  <w:style w:type="character" w:styleId="954" w:customStyle="1">
    <w:name w:val="正文缩进 字符1"/>
    <w:link w:val="743"/>
    <w:uiPriority w:val="0"/>
    <w:qFormat/>
    <w:rPr>
      <w:rFonts w:eastAsia="楷体_GB2312"/>
      <w:sz w:val="24"/>
      <w:lang w:val="en-US" w:eastAsia="zh-CN" w:bidi="ar-SA"/>
    </w:rPr>
  </w:style>
  <w:style w:type="character" w:styleId="955" w:customStyle="1">
    <w:name w:val="正文文本 字符"/>
    <w:link w:val="750"/>
    <w:uiPriority w:val="0"/>
    <w:semiHidden/>
    <w:qFormat/>
    <w:rPr>
      <w:rFonts w:eastAsia="宋体"/>
      <w:sz w:val="28"/>
      <w:szCs w:val="24"/>
      <w:lang w:val="en-US" w:eastAsia="zh-CN" w:bidi="ar-SA"/>
    </w:rPr>
  </w:style>
  <w:style w:type="character" w:styleId="956" w:customStyle="1">
    <w:name w:val="正文文本缩进 字符"/>
    <w:link w:val="751"/>
    <w:uiPriority w:val="0"/>
    <w:qFormat/>
    <w:rPr>
      <w:rFonts w:ascii="方正仿宋简体" w:hAnsi="创艺简仿宋" w:eastAsia="方正仿宋简体"/>
      <w:sz w:val="24"/>
    </w:rPr>
  </w:style>
  <w:style w:type="character" w:styleId="957" w:customStyle="1">
    <w:name w:val="纯文本 字符"/>
    <w:link w:val="758"/>
    <w:uiPriority w:val="0"/>
    <w:qFormat/>
    <w:rPr>
      <w:rFonts w:ascii="宋体" w:hAnsi="Courier New" w:eastAsia="楷体_GB2312"/>
      <w:sz w:val="28"/>
      <w:lang w:val="en-US" w:eastAsia="zh-CN" w:bidi="ar-SA"/>
    </w:rPr>
  </w:style>
  <w:style w:type="character" w:styleId="958" w:customStyle="1">
    <w:name w:val="日期 字符"/>
    <w:link w:val="760"/>
    <w:uiPriority w:val="0"/>
    <w:qFormat/>
    <w:rPr>
      <w:sz w:val="28"/>
      <w:szCs w:val="24"/>
    </w:rPr>
  </w:style>
  <w:style w:type="character" w:styleId="959" w:customStyle="1">
    <w:name w:val="页眉 字符"/>
    <w:link w:val="765"/>
    <w:uiPriority w:val="0"/>
    <w:semiHidden/>
    <w:qFormat/>
    <w:rPr>
      <w:rFonts w:eastAsia="宋体"/>
      <w:sz w:val="18"/>
      <w:szCs w:val="18"/>
      <w:lang w:val="en-US" w:eastAsia="zh-CN" w:bidi="ar-SA"/>
    </w:rPr>
  </w:style>
  <w:style w:type="character" w:styleId="960" w:customStyle="1">
    <w:name w:val="副标题 字符"/>
    <w:link w:val="770"/>
    <w:uiPriority w:val="0"/>
    <w:qFormat/>
    <w:rPr>
      <w:rFonts w:eastAsia="宋体"/>
      <w:sz w:val="21"/>
      <w:szCs w:val="24"/>
      <w:lang w:val="en-US" w:eastAsia="zh-CN" w:bidi="ar-SA"/>
    </w:rPr>
  </w:style>
  <w:style w:type="character" w:styleId="961" w:customStyle="1">
    <w:name w:val="正文文本首行缩进 字符"/>
    <w:link w:val="783"/>
    <w:uiPriority w:val="0"/>
    <w:semiHidden/>
    <w:qFormat/>
    <w:rPr>
      <w:rFonts w:ascii="Cambria" w:hAnsi="Cambria"/>
      <w:sz w:val="21"/>
      <w:szCs w:val="24"/>
      <w:lang w:val="en-US" w:eastAsia="zh-CN" w:bidi="ar-SA"/>
    </w:rPr>
  </w:style>
  <w:style w:type="table" w:styleId="962" w:customStyle="1">
    <w:name w:val="浅色网格 - 强调文字颜色 61"/>
    <w:basedOn w:val="741"/>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63" w:customStyle="1">
    <w:name w:val="彩色底纹 - 强调文字颜色 51"/>
    <w:basedOn w:val="741"/>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64" w:customStyle="1">
    <w:name w:val="彩色列表 - 强调文字颜色 41"/>
    <w:basedOn w:val="741"/>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65" w:customStyle="1">
    <w:name w:val="pa-0"/>
    <w:basedOn w:val="730"/>
    <w:uiPriority w:val="0"/>
    <w:qFormat/>
    <w:pPr>
      <w:jc w:val="center"/>
      <w:spacing w:line="320" w:lineRule="atLeast"/>
      <w:widowControl/>
    </w:pPr>
    <w:rPr>
      <w:rFonts w:ascii="宋体" w:hAnsi="宋体" w:cs="宋体"/>
      <w:sz w:val="24"/>
    </w:rPr>
  </w:style>
  <w:style w:type="paragraph" w:styleId="966" w:customStyle="1">
    <w:name w:val="pa-1"/>
    <w:basedOn w:val="730"/>
    <w:uiPriority w:val="0"/>
    <w:qFormat/>
    <w:pPr>
      <w:ind w:firstLine="540"/>
      <w:spacing w:line="360" w:lineRule="atLeast"/>
      <w:widowControl/>
    </w:pPr>
    <w:rPr>
      <w:rFonts w:ascii="宋体" w:hAnsi="宋体" w:cs="宋体"/>
      <w:sz w:val="24"/>
    </w:rPr>
  </w:style>
  <w:style w:type="paragraph" w:styleId="967" w:customStyle="1">
    <w:name w:val="pa-2"/>
    <w:basedOn w:val="730"/>
    <w:uiPriority w:val="0"/>
    <w:qFormat/>
    <w:pPr>
      <w:ind w:firstLine="480"/>
      <w:spacing w:line="280" w:lineRule="atLeast"/>
      <w:widowControl/>
    </w:pPr>
    <w:rPr>
      <w:rFonts w:ascii="宋体" w:hAnsi="宋体" w:cs="宋体"/>
      <w:sz w:val="24"/>
    </w:rPr>
  </w:style>
  <w:style w:type="paragraph" w:styleId="968" w:customStyle="1">
    <w:name w:val="pa-3"/>
    <w:basedOn w:val="730"/>
    <w:uiPriority w:val="0"/>
    <w:qFormat/>
    <w:pPr>
      <w:ind w:firstLine="480"/>
      <w:spacing w:line="360" w:lineRule="atLeast"/>
      <w:widowControl/>
    </w:pPr>
    <w:rPr>
      <w:rFonts w:ascii="宋体" w:hAnsi="宋体" w:cs="宋体"/>
      <w:sz w:val="24"/>
    </w:rPr>
  </w:style>
  <w:style w:type="paragraph" w:styleId="969" w:customStyle="1">
    <w:name w:val="pa-4"/>
    <w:basedOn w:val="730"/>
    <w:uiPriority w:val="0"/>
    <w:qFormat/>
    <w:pPr>
      <w:spacing w:line="360" w:lineRule="atLeast"/>
      <w:widowControl/>
    </w:pPr>
    <w:rPr>
      <w:rFonts w:ascii="宋体" w:hAnsi="宋体" w:cs="宋体"/>
      <w:sz w:val="24"/>
    </w:rPr>
  </w:style>
  <w:style w:type="paragraph" w:styleId="970" w:customStyle="1">
    <w:name w:val="pa-5"/>
    <w:basedOn w:val="730"/>
    <w:uiPriority w:val="0"/>
    <w:qFormat/>
    <w:pPr>
      <w:spacing w:line="280" w:lineRule="atLeast"/>
      <w:widowControl/>
    </w:pPr>
    <w:rPr>
      <w:rFonts w:ascii="宋体" w:hAnsi="宋体" w:cs="宋体"/>
      <w:sz w:val="24"/>
    </w:rPr>
  </w:style>
  <w:style w:type="character" w:styleId="971" w:customStyle="1">
    <w:name w:val="ca-01"/>
    <w:uiPriority w:val="0"/>
    <w:qFormat/>
    <w:rPr>
      <w:rFonts w:hint="eastAsia" w:ascii="黑体" w:eastAsia="黑体"/>
      <w:sz w:val="28"/>
      <w:szCs w:val="28"/>
    </w:rPr>
  </w:style>
  <w:style w:type="character" w:styleId="972" w:customStyle="1">
    <w:name w:val="ca-11"/>
    <w:uiPriority w:val="0"/>
    <w:qFormat/>
    <w:rPr>
      <w:rFonts w:hint="eastAsia" w:ascii="宋体" w:hAnsi="宋体" w:eastAsia="宋体"/>
      <w:sz w:val="24"/>
      <w:szCs w:val="24"/>
    </w:rPr>
  </w:style>
  <w:style w:type="character" w:styleId="973" w:customStyle="1">
    <w:name w:val="ca-21"/>
    <w:uiPriority w:val="0"/>
    <w:qFormat/>
    <w:rPr>
      <w:rFonts w:hint="eastAsia" w:ascii="宋体" w:hAnsi="宋体" w:eastAsia="宋体"/>
      <w:b/>
      <w:bCs/>
      <w:color w:val="000000"/>
      <w:spacing w:val="-20"/>
      <w:sz w:val="24"/>
      <w:szCs w:val="24"/>
    </w:rPr>
  </w:style>
  <w:style w:type="paragraph" w:styleId="974" w:customStyle="1">
    <w:name w:val="Char"/>
    <w:basedOn w:val="730"/>
    <w:uiPriority w:val="0"/>
    <w:qFormat/>
    <w:pPr>
      <w:numPr>
        <w:ilvl w:val="0"/>
        <w:numId w:val="1"/>
      </w:numPr>
    </w:pPr>
    <w:rPr>
      <w:sz w:val="24"/>
    </w:rPr>
  </w:style>
  <w:style w:type="paragraph" w:styleId="975" w:customStyle="1">
    <w:name w:val="Char2"/>
    <w:basedOn w:val="730"/>
    <w:uiPriority w:val="0"/>
    <w:qFormat/>
    <w:rPr>
      <w:rFonts w:ascii="Tahoma" w:hAnsi="Tahoma"/>
      <w:sz w:val="24"/>
      <w:szCs w:val="20"/>
    </w:rPr>
  </w:style>
  <w:style w:type="character" w:styleId="976" w:customStyle="1">
    <w:name w:val="正文（首行缩进两字） Char1"/>
    <w:uiPriority w:val="0"/>
    <w:qFormat/>
    <w:rPr>
      <w:rFonts w:eastAsia="宋体"/>
      <w:sz w:val="21"/>
      <w:szCs w:val="24"/>
      <w:lang w:val="en-US" w:eastAsia="zh-CN" w:bidi="ar-SA"/>
    </w:rPr>
  </w:style>
  <w:style w:type="paragraph" w:styleId="977" w:customStyle="1">
    <w:name w:val="Char Char"/>
    <w:basedOn w:val="730"/>
    <w:uiPriority w:val="0"/>
    <w:qFormat/>
    <w:rPr>
      <w:rFonts w:ascii="Tahoma" w:hAnsi="Tahoma"/>
      <w:sz w:val="24"/>
      <w:szCs w:val="20"/>
    </w:rPr>
  </w:style>
  <w:style w:type="paragraph" w:styleId="978" w:customStyle="1">
    <w:name w:val="默认段落字体 Para Char Char Char Char"/>
    <w:basedOn w:val="730"/>
    <w:uiPriority w:val="0"/>
    <w:qFormat/>
  </w:style>
  <w:style w:type="paragraph" w:styleId="979" w:customStyle="1">
    <w:name w:val="默认段落字体 Para Char Char"/>
    <w:basedOn w:val="730"/>
    <w:uiPriority w:val="0"/>
    <w:qFormat/>
  </w:style>
  <w:style w:type="paragraph" w:styleId="980" w:customStyle="1">
    <w:name w:val="金保标题1"/>
    <w:basedOn w:val="731"/>
    <w:next w:val="730"/>
    <w:uiPriority w:val="0"/>
    <w:qFormat/>
    <w:pPr>
      <w:numPr>
        <w:ilvl w:val="0"/>
        <w:numId w:val="2"/>
      </w:numPr>
      <w:jc w:val="center"/>
      <w:pageBreakBefore/>
      <w:spacing w:line="240" w:lineRule="auto"/>
    </w:pPr>
    <w:rPr>
      <w:rFonts w:ascii="黑体" w:hAnsi="Tahoma" w:eastAsia="黑体"/>
      <w:sz w:val="32"/>
      <w:szCs w:val="32"/>
    </w:rPr>
  </w:style>
  <w:style w:type="paragraph" w:styleId="981" w:customStyle="1">
    <w:name w:val="标题2"/>
    <w:basedOn w:val="732"/>
    <w:next w:val="730"/>
    <w:link w:val="982"/>
    <w:uiPriority w:val="0"/>
    <w:qFormat/>
    <w:pPr>
      <w:numPr>
        <w:ilvl w:val="1"/>
        <w:numId w:val="2"/>
      </w:numPr>
      <w:jc w:val="left"/>
      <w:spacing w:line="415" w:lineRule="auto"/>
    </w:pPr>
    <w:rPr>
      <w:rFonts w:ascii="Calibri" w:hAnsi="Calibri"/>
      <w:b w:val="0"/>
      <w:sz w:val="30"/>
      <w:szCs w:val="30"/>
    </w:rPr>
  </w:style>
  <w:style w:type="character" w:styleId="982" w:customStyle="1">
    <w:name w:val="标题2 Char"/>
    <w:link w:val="981"/>
    <w:uiPriority w:val="0"/>
    <w:qFormat/>
    <w:rPr>
      <w:rFonts w:eastAsia="黑体"/>
      <w:bCs/>
      <w:sz w:val="30"/>
      <w:szCs w:val="30"/>
      <w:lang w:val="en-US" w:eastAsia="zh-CN" w:bidi="ar-SA"/>
    </w:rPr>
  </w:style>
  <w:style w:type="paragraph" w:styleId="983" w:customStyle="1">
    <w:name w:val="金保标题3"/>
    <w:basedOn w:val="733"/>
    <w:next w:val="730"/>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84" w:customStyle="1">
    <w:name w:val="标准正文格式"/>
    <w:basedOn w:val="730"/>
    <w:link w:val="985"/>
    <w:uiPriority w:val="0"/>
    <w:qFormat/>
    <w:pPr>
      <w:ind w:firstLine="200"/>
      <w:spacing w:before="60" w:after="120" w:line="360" w:lineRule="auto"/>
      <w:widowControl/>
    </w:pPr>
    <w:rPr>
      <w:rFonts w:ascii="Calibri" w:hAnsi="Calibri" w:eastAsia="仿宋_GB2312"/>
      <w:bCs/>
      <w:sz w:val="28"/>
      <w:szCs w:val="20"/>
    </w:rPr>
  </w:style>
  <w:style w:type="character" w:styleId="985" w:customStyle="1">
    <w:name w:val="标准正文格式 Char"/>
    <w:link w:val="984"/>
    <w:uiPriority w:val="0"/>
    <w:qFormat/>
    <w:rPr>
      <w:rFonts w:eastAsia="仿宋_GB2312"/>
      <w:bCs/>
      <w:sz w:val="28"/>
      <w:lang w:val="en-US" w:eastAsia="zh-CN" w:bidi="ar-SA"/>
    </w:rPr>
  </w:style>
  <w:style w:type="paragraph" w:styleId="986">
    <w:name w:val="List Paragraph"/>
    <w:basedOn w:val="730"/>
    <w:uiPriority w:val="34"/>
    <w:qFormat/>
    <w:pPr>
      <w:ind w:firstLine="420"/>
    </w:pPr>
    <w:rPr>
      <w:rFonts w:ascii="Calibri" w:hAnsi="Calibri"/>
      <w:szCs w:val="20"/>
    </w:rPr>
  </w:style>
  <w:style w:type="paragraph" w:styleId="987" w:customStyle="1">
    <w:name w:val="样式 标题 1第一章：标题 1µÚÒ»ÕÂ£º±êÌâ 1合同标题H1标书1h1Section HeadingH..."/>
    <w:basedOn w:val="731"/>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988" w:customStyle="1">
    <w:name w:val="标准正文1"/>
    <w:basedOn w:val="730"/>
    <w:link w:val="989"/>
    <w:uiPriority w:val="0"/>
    <w:qFormat/>
    <w:pPr>
      <w:ind w:firstLine="420"/>
      <w:spacing w:line="288" w:lineRule="auto"/>
    </w:pPr>
    <w:rPr>
      <w:rFonts w:ascii="Calibri" w:hAnsi="Calibri" w:cs="宋体"/>
      <w:szCs w:val="20"/>
    </w:rPr>
  </w:style>
  <w:style w:type="character" w:styleId="989" w:customStyle="1">
    <w:name w:val="标准正文1 Char"/>
    <w:link w:val="988"/>
    <w:uiPriority w:val="0"/>
    <w:qFormat/>
    <w:rPr>
      <w:rFonts w:eastAsia="宋体" w:cs="宋体"/>
      <w:sz w:val="21"/>
      <w:lang w:val="en-US" w:eastAsia="zh-CN" w:bidi="ar-SA"/>
    </w:rPr>
  </w:style>
  <w:style w:type="paragraph" w:styleId="990" w:customStyle="1">
    <w:name w:val="样式 标题 2h22nd levelheading 2H2Title2H21Heading 2 HiddenHe...1"/>
    <w:basedOn w:val="732"/>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991" w:customStyle="1">
    <w:name w:val="样式 标题 3heading 3H3h33rd levelHeading 3 - oldl3CTLevel 3 ..."/>
    <w:basedOn w:val="733"/>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992" w:customStyle="1">
    <w:name w:val="Char Char Char Char Char Char Char Char Char Char Char Char Char Char Char Char"/>
    <w:basedOn w:val="730"/>
    <w:uiPriority w:val="0"/>
    <w:qFormat/>
    <w:rPr>
      <w:rFonts w:ascii="Tahoma" w:hAnsi="Tahoma" w:eastAsia="仿宋_GB2312"/>
      <w:color w:val="000000"/>
      <w:sz w:val="24"/>
      <w:szCs w:val="20"/>
    </w:rPr>
  </w:style>
  <w:style w:type="character" w:styleId="993" w:customStyle="1">
    <w:name w:val="grame"/>
    <w:basedOn w:val="740"/>
    <w:uiPriority w:val="0"/>
    <w:qFormat/>
  </w:style>
  <w:style w:type="character" w:styleId="994" w:customStyle="1">
    <w:name w:val="p101"/>
    <w:uiPriority w:val="0"/>
    <w:qFormat/>
    <w:rPr>
      <w:rFonts w:hint="default"/>
      <w:sz w:val="20"/>
      <w:u w:val="none"/>
    </w:rPr>
  </w:style>
  <w:style w:type="paragraph" w:styleId="995" w:customStyle="1">
    <w:name w:val="textfontgray"/>
    <w:basedOn w:val="730"/>
    <w:uiPriority w:val="0"/>
    <w:qFormat/>
    <w:pPr>
      <w:jc w:val="left"/>
      <w:spacing w:before="100" w:beforeAutospacing="1" w:after="100" w:afterAutospacing="1" w:line="432" w:lineRule="auto"/>
      <w:widowControl/>
    </w:pPr>
    <w:rPr>
      <w:color w:val="999999"/>
      <w:sz w:val="18"/>
      <w:szCs w:val="20"/>
    </w:rPr>
  </w:style>
  <w:style w:type="paragraph" w:styleId="996" w:customStyle="1">
    <w:name w:val="dashed"/>
    <w:basedOn w:val="730"/>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997" w:customStyle="1">
    <w:name w:val="salefont9"/>
    <w:basedOn w:val="730"/>
    <w:uiPriority w:val="0"/>
    <w:qFormat/>
    <w:pPr>
      <w:jc w:val="left"/>
      <w:spacing w:before="100" w:beforeAutospacing="1" w:after="100" w:afterAutospacing="1" w:line="384" w:lineRule="auto"/>
      <w:widowControl/>
    </w:pPr>
    <w:rPr>
      <w:color w:val="ff3300"/>
      <w:sz w:val="18"/>
      <w:szCs w:val="20"/>
    </w:rPr>
  </w:style>
  <w:style w:type="paragraph" w:styleId="998" w:customStyle="1">
    <w:name w:val="flType"/>
    <w:basedOn w:val="730"/>
    <w:uiPriority w:val="0"/>
    <w:qFormat/>
    <w:pPr>
      <w:jc w:val="center"/>
      <w:spacing w:after="284" w:line="113" w:lineRule="atLeast"/>
    </w:pPr>
    <w:rPr>
      <w:sz w:val="24"/>
      <w:szCs w:val="20"/>
    </w:rPr>
  </w:style>
  <w:style w:type="paragraph" w:styleId="999" w:customStyle="1">
    <w:name w:val="Char1"/>
    <w:basedOn w:val="745"/>
    <w:uiPriority w:val="0"/>
    <w:qFormat/>
    <w:rPr>
      <w:rFonts w:ascii="Tahoma" w:hAnsi="Tahoma"/>
      <w:sz w:val="24"/>
    </w:rPr>
  </w:style>
  <w:style w:type="paragraph" w:styleId="1000" w:customStyle="1">
    <w:name w:val="序号正文"/>
    <w:basedOn w:val="730"/>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01" w:customStyle="1">
    <w:name w:val="p10"/>
    <w:basedOn w:val="730"/>
    <w:uiPriority w:val="0"/>
    <w:qFormat/>
    <w:pPr>
      <w:jc w:val="left"/>
      <w:spacing w:before="100" w:beforeAutospacing="1" w:after="100" w:afterAutospacing="1" w:line="432" w:lineRule="auto"/>
      <w:widowControl/>
    </w:pPr>
    <w:rPr>
      <w:color w:val="000000"/>
      <w:sz w:val="20"/>
      <w:szCs w:val="20"/>
    </w:rPr>
  </w:style>
  <w:style w:type="paragraph" w:styleId="1002" w:customStyle="1">
    <w:name w:val="headfont9"/>
    <w:basedOn w:val="730"/>
    <w:uiPriority w:val="0"/>
    <w:qFormat/>
    <w:pPr>
      <w:jc w:val="left"/>
      <w:spacing w:before="100" w:beforeAutospacing="1" w:after="100" w:afterAutospacing="1"/>
      <w:widowControl/>
    </w:pPr>
    <w:rPr>
      <w:color w:val="ffffff"/>
      <w:sz w:val="18"/>
      <w:szCs w:val="20"/>
    </w:rPr>
  </w:style>
  <w:style w:type="paragraph" w:styleId="1003" w:customStyle="1">
    <w:name w:val="textfont12"/>
    <w:basedOn w:val="730"/>
    <w:uiPriority w:val="0"/>
    <w:qFormat/>
    <w:pPr>
      <w:jc w:val="left"/>
      <w:spacing w:before="100" w:beforeAutospacing="1" w:after="100" w:afterAutospacing="1"/>
      <w:widowControl/>
    </w:pPr>
    <w:rPr>
      <w:b/>
      <w:color w:val="000000"/>
      <w:sz w:val="24"/>
      <w:szCs w:val="20"/>
    </w:rPr>
  </w:style>
  <w:style w:type="paragraph" w:styleId="1004" w:customStyle="1">
    <w:name w:val="表1"/>
    <w:basedOn w:val="730"/>
    <w:uiPriority w:val="0"/>
    <w:qFormat/>
    <w:pPr>
      <w:jc w:val="center"/>
    </w:pPr>
    <w:rPr>
      <w:spacing w:val="20"/>
      <w:szCs w:val="20"/>
    </w:rPr>
  </w:style>
  <w:style w:type="paragraph" w:styleId="1005" w:customStyle="1">
    <w:name w:val="p9"/>
    <w:basedOn w:val="730"/>
    <w:uiPriority w:val="0"/>
    <w:qFormat/>
    <w:pPr>
      <w:jc w:val="left"/>
      <w:spacing w:before="100" w:beforeAutospacing="1" w:after="100" w:afterAutospacing="1"/>
      <w:widowControl/>
    </w:pPr>
    <w:rPr>
      <w:color w:val="000000"/>
      <w:sz w:val="18"/>
      <w:szCs w:val="20"/>
    </w:rPr>
  </w:style>
  <w:style w:type="paragraph" w:styleId="1006" w:customStyle="1">
    <w:name w:val="profont"/>
    <w:basedOn w:val="730"/>
    <w:uiPriority w:val="0"/>
    <w:qFormat/>
    <w:pPr>
      <w:jc w:val="left"/>
      <w:spacing w:before="100" w:beforeAutospacing="1" w:after="100" w:afterAutospacing="1"/>
      <w:widowControl/>
    </w:pPr>
    <w:rPr>
      <w:rFonts w:ascii="Verdana" w:hAnsi="Verdana"/>
      <w:b/>
      <w:color w:val="333333"/>
      <w:sz w:val="24"/>
      <w:szCs w:val="20"/>
    </w:rPr>
  </w:style>
  <w:style w:type="paragraph" w:styleId="1007" w:customStyle="1">
    <w:name w:val="纯文本1"/>
    <w:basedOn w:val="730"/>
    <w:link w:val="1008"/>
    <w:uiPriority w:val="0"/>
    <w:qFormat/>
    <w:rPr>
      <w:rFonts w:ascii="宋体" w:hAnsi="Courier New" w:eastAsia="楷体_GB2312"/>
      <w:sz w:val="28"/>
      <w:szCs w:val="20"/>
    </w:rPr>
  </w:style>
  <w:style w:type="character" w:styleId="1008" w:customStyle="1">
    <w:name w:val="Plain Text Char"/>
    <w:link w:val="1007"/>
    <w:uiPriority w:val="0"/>
    <w:qFormat/>
    <w:rPr>
      <w:rFonts w:ascii="宋体" w:hAnsi="Courier New" w:eastAsia="楷体_GB2312"/>
      <w:sz w:val="28"/>
    </w:rPr>
  </w:style>
  <w:style w:type="paragraph" w:styleId="1009" w:customStyle="1">
    <w:name w:val="段"/>
    <w:uiPriority w:val="0"/>
    <w:qFormat/>
    <w:pPr>
      <w:ind w:firstLine="200"/>
      <w:jc w:val="both"/>
    </w:pPr>
    <w:rPr>
      <w:rFonts w:ascii="宋体" w:hAnsi="Times New Roman" w:eastAsia="宋体" w:cs="Times New Roman"/>
      <w:sz w:val="21"/>
      <w:lang w:val="en-US" w:eastAsia="zh-CN" w:bidi="ar-SA"/>
    </w:rPr>
  </w:style>
  <w:style w:type="paragraph" w:styleId="1010" w:customStyle="1">
    <w:name w:val="font0"/>
    <w:basedOn w:val="730"/>
    <w:uiPriority w:val="0"/>
    <w:qFormat/>
    <w:pPr>
      <w:jc w:val="left"/>
      <w:spacing w:before="100" w:beforeAutospacing="1" w:after="100" w:afterAutospacing="1"/>
      <w:widowControl/>
    </w:pPr>
    <w:rPr>
      <w:rFonts w:hint="eastAsia" w:ascii="宋体" w:hAnsi="宋体"/>
      <w:sz w:val="24"/>
      <w:szCs w:val="20"/>
    </w:rPr>
  </w:style>
  <w:style w:type="paragraph" w:styleId="1011" w:customStyle="1">
    <w:name w:val="input"/>
    <w:basedOn w:val="730"/>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12" w:customStyle="1">
    <w:name w:val="小标题"/>
    <w:basedOn w:val="730"/>
    <w:uiPriority w:val="0"/>
    <w:qFormat/>
    <w:rPr>
      <w:rFonts w:ascii="宋体" w:hAnsi="宋体"/>
      <w:b/>
      <w:sz w:val="24"/>
      <w:szCs w:val="20"/>
    </w:rPr>
  </w:style>
  <w:style w:type="paragraph" w:styleId="1013" w:customStyle="1">
    <w:name w:val="样式 Arial 小四 行距: 1.5 倍行距"/>
    <w:basedOn w:val="730"/>
    <w:uiPriority w:val="0"/>
    <w:qFormat/>
    <w:pPr>
      <w:ind w:firstLine="480"/>
      <w:spacing w:line="360" w:lineRule="auto"/>
    </w:pPr>
    <w:rPr>
      <w:rFonts w:ascii="Arial" w:hAnsi="Arial"/>
      <w:sz w:val="24"/>
      <w:szCs w:val="20"/>
    </w:rPr>
  </w:style>
  <w:style w:type="paragraph" w:styleId="1014" w:customStyle="1">
    <w:name w:val="条例"/>
    <w:basedOn w:val="730"/>
    <w:uiPriority w:val="0"/>
    <w:qFormat/>
    <w:pPr>
      <w:ind w:left="2" w:right="210" w:firstLine="2"/>
      <w:keepLines/>
      <w:spacing w:line="320" w:lineRule="exact"/>
      <w:widowControl/>
    </w:pPr>
    <w:rPr>
      <w:rFonts w:ascii="宋体" w:hAnsi="宋体"/>
      <w:sz w:val="24"/>
      <w:szCs w:val="20"/>
    </w:rPr>
  </w:style>
  <w:style w:type="paragraph" w:styleId="1015" w:customStyle="1">
    <w:name w:val="符号列表"/>
    <w:basedOn w:val="730"/>
    <w:uiPriority w:val="0"/>
    <w:qFormat/>
    <w:pPr>
      <w:numPr>
        <w:ilvl w:val="0"/>
        <w:numId w:val="5"/>
      </w:numPr>
      <w:spacing w:line="440" w:lineRule="exact"/>
    </w:pPr>
    <w:rPr>
      <w:sz w:val="24"/>
      <w:szCs w:val="20"/>
    </w:rPr>
  </w:style>
  <w:style w:type="paragraph" w:styleId="1016" w:customStyle="1">
    <w:name w:val="font5"/>
    <w:basedOn w:val="730"/>
    <w:uiPriority w:val="0"/>
    <w:qFormat/>
    <w:pPr>
      <w:jc w:val="left"/>
      <w:spacing w:before="100" w:beforeAutospacing="1" w:after="100" w:afterAutospacing="1"/>
      <w:widowControl/>
    </w:pPr>
    <w:rPr>
      <w:rFonts w:ascii="宋体" w:hAnsi="宋体" w:cs="宋体"/>
      <w:sz w:val="18"/>
      <w:szCs w:val="18"/>
    </w:rPr>
  </w:style>
  <w:style w:type="paragraph" w:styleId="1017" w:customStyle="1">
    <w:name w:val="xl23"/>
    <w:basedOn w:val="730"/>
    <w:uiPriority w:val="0"/>
    <w:qFormat/>
    <w:pPr>
      <w:jc w:val="center"/>
      <w:spacing w:before="100" w:beforeAutospacing="1" w:after="100" w:afterAutospacing="1"/>
      <w:widowControl/>
    </w:pPr>
    <w:rPr>
      <w:rFonts w:ascii="宋体" w:hAnsi="宋体" w:cs="宋体"/>
      <w:sz w:val="24"/>
    </w:rPr>
  </w:style>
  <w:style w:type="paragraph" w:styleId="1018" w:customStyle="1">
    <w:name w:val="xl24"/>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19" w:customStyle="1">
    <w:name w:val="xl25"/>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0" w:customStyle="1">
    <w:name w:val="xl26"/>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1" w:customStyle="1">
    <w:name w:val="xl27"/>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22" w:customStyle="1">
    <w:name w:val="xl28"/>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23" w:customStyle="1">
    <w:name w:val="xl29"/>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24" w:customStyle="1">
    <w:name w:val="xl30"/>
    <w:basedOn w:val="7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25" w:customStyle="1">
    <w:name w:val="xl31"/>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26" w:customStyle="1">
    <w:name w:val="xl32"/>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27" w:customStyle="1">
    <w:name w:val="xl33"/>
    <w:basedOn w:val="73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28" w:customStyle="1">
    <w:name w:val="xl34"/>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29" w:customStyle="1">
    <w:name w:val="xl35"/>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30" w:customStyle="1">
    <w:name w:val="xl36"/>
    <w:basedOn w:val="73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31" w:customStyle="1">
    <w:name w:val="xl37"/>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32" w:customStyle="1">
    <w:name w:val="xl38"/>
    <w:basedOn w:val="730"/>
    <w:uiPriority w:val="0"/>
    <w:qFormat/>
    <w:pPr>
      <w:jc w:val="center"/>
      <w:spacing w:before="100" w:beforeAutospacing="1" w:after="100" w:afterAutospacing="1"/>
      <w:widowControl/>
    </w:pPr>
    <w:rPr>
      <w:rFonts w:ascii="宋体" w:hAnsi="宋体" w:cs="宋体"/>
      <w:b/>
      <w:bCs/>
      <w:sz w:val="32"/>
      <w:szCs w:val="32"/>
    </w:rPr>
  </w:style>
  <w:style w:type="paragraph" w:styleId="1033" w:customStyle="1">
    <w:name w:val="xl39"/>
    <w:basedOn w:val="7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34" w:customStyle="1">
    <w:name w:val="xl40"/>
    <w:basedOn w:val="7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35" w:customStyle="1">
    <w:name w:val="style31"/>
    <w:uiPriority w:val="0"/>
    <w:qFormat/>
    <w:rPr>
      <w:sz w:val="23"/>
      <w:szCs w:val="23"/>
    </w:rPr>
  </w:style>
  <w:style w:type="character" w:styleId="1036" w:customStyle="1">
    <w:name w:val="headertext"/>
    <w:basedOn w:val="740"/>
    <w:uiPriority w:val="0"/>
    <w:qFormat/>
  </w:style>
  <w:style w:type="character" w:styleId="1037" w:customStyle="1">
    <w:name w:val="style5"/>
    <w:basedOn w:val="740"/>
    <w:uiPriority w:val="0"/>
    <w:qFormat/>
  </w:style>
  <w:style w:type="character" w:styleId="1038" w:customStyle="1">
    <w:name w:val="style3"/>
    <w:basedOn w:val="740"/>
    <w:uiPriority w:val="0"/>
    <w:qFormat/>
  </w:style>
  <w:style w:type="character" w:styleId="1039" w:customStyle="1">
    <w:name w:val="font1"/>
    <w:uiPriority w:val="0"/>
    <w:qFormat/>
    <w:rPr>
      <w:color w:val="0066cc"/>
      <w:sz w:val="18"/>
      <w:szCs w:val="18"/>
      <w:u w:val="none"/>
    </w:rPr>
  </w:style>
  <w:style w:type="character" w:styleId="1040" w:customStyle="1">
    <w:name w:val="txt1"/>
    <w:uiPriority w:val="0"/>
    <w:qFormat/>
    <w:rPr>
      <w:rFonts w:hint="default"/>
      <w:sz w:val="18"/>
      <w:szCs w:val="18"/>
    </w:rPr>
  </w:style>
  <w:style w:type="character" w:styleId="1041" w:customStyle="1">
    <w:name w:val="font-121"/>
    <w:uiPriority w:val="0"/>
    <w:qFormat/>
    <w:rPr>
      <w:color w:val="666666"/>
      <w:sz w:val="24"/>
      <w:szCs w:val="24"/>
      <w:u w:val="none"/>
    </w:rPr>
  </w:style>
  <w:style w:type="character" w:styleId="1042" w:customStyle="1">
    <w:name w:val="style41"/>
    <w:uiPriority w:val="0"/>
    <w:qFormat/>
    <w:rPr>
      <w:color w:val="f49304"/>
    </w:rPr>
  </w:style>
  <w:style w:type="character" w:styleId="1043" w:customStyle="1">
    <w:name w:val="正文缩进 Char"/>
    <w:uiPriority w:val="0"/>
    <w:qFormat/>
    <w:rPr>
      <w:rFonts w:eastAsia="宋体"/>
      <w:sz w:val="24"/>
      <w:lang w:val="en-US" w:eastAsia="zh-CN" w:bidi="ar-SA"/>
    </w:rPr>
  </w:style>
  <w:style w:type="character" w:styleId="1044" w:customStyle="1">
    <w:name w:val="text1"/>
    <w:uiPriority w:val="0"/>
    <w:qFormat/>
    <w:rPr>
      <w:rFonts w:hint="default" w:ascii="ˎ̥" w:hAnsi="ˎ̥"/>
      <w:color w:val="000000"/>
      <w:sz w:val="18"/>
      <w:szCs w:val="18"/>
      <w:u w:val="none"/>
    </w:rPr>
  </w:style>
  <w:style w:type="character" w:styleId="1045" w:customStyle="1">
    <w:name w:val="style61"/>
    <w:uiPriority w:val="0"/>
    <w:qFormat/>
    <w:rPr>
      <w:b/>
      <w:bCs/>
      <w:color w:val="f49304"/>
    </w:rPr>
  </w:style>
  <w:style w:type="character" w:styleId="1046" w:customStyle="1">
    <w:name w:val="headerboxgreen"/>
    <w:basedOn w:val="740"/>
    <w:uiPriority w:val="0"/>
    <w:qFormat/>
  </w:style>
  <w:style w:type="character" w:styleId="1047" w:customStyle="1">
    <w:name w:val="textnorm_chn1"/>
    <w:uiPriority w:val="0"/>
    <w:qFormat/>
    <w:rPr>
      <w:rFonts w:hint="default" w:ascii="Arial" w:hAnsi="Arial" w:cs="Arial"/>
      <w:color w:val="21254a"/>
      <w:sz w:val="22"/>
      <w:szCs w:val="22"/>
    </w:rPr>
  </w:style>
  <w:style w:type="character" w:styleId="1048" w:customStyle="1">
    <w:name w:val="marklong"/>
    <w:basedOn w:val="740"/>
    <w:uiPriority w:val="0"/>
    <w:qFormat/>
  </w:style>
  <w:style w:type="character" w:styleId="1049" w:customStyle="1">
    <w:name w:val="style51"/>
    <w:uiPriority w:val="0"/>
    <w:qFormat/>
    <w:rPr>
      <w:color w:val="ffffff"/>
    </w:rPr>
  </w:style>
  <w:style w:type="character" w:styleId="1050" w:customStyle="1">
    <w:name w:val="Char Char4"/>
    <w:uiPriority w:val="0"/>
    <w:qFormat/>
    <w:rPr>
      <w:rFonts w:eastAsia="宋体"/>
      <w:b/>
      <w:bCs/>
      <w:sz w:val="44"/>
      <w:szCs w:val="44"/>
      <w:lang w:val="en-US" w:eastAsia="zh-CN" w:bidi="ar-SA"/>
    </w:rPr>
  </w:style>
  <w:style w:type="character" w:styleId="1051" w:customStyle="1">
    <w:name w:val="H2 Char"/>
    <w:uiPriority w:val="0"/>
    <w:qFormat/>
    <w:rPr>
      <w:rFonts w:ascii="Arial" w:hAnsi="Arial" w:eastAsia="黑体"/>
      <w:b/>
      <w:bCs/>
      <w:sz w:val="32"/>
      <w:szCs w:val="32"/>
    </w:rPr>
  </w:style>
  <w:style w:type="character" w:styleId="1052" w:customStyle="1">
    <w:name w:val="style35"/>
    <w:basedOn w:val="740"/>
    <w:uiPriority w:val="0"/>
    <w:qFormat/>
  </w:style>
  <w:style w:type="character" w:styleId="1053" w:customStyle="1">
    <w:name w:val="black1"/>
    <w:uiPriority w:val="0"/>
    <w:qFormat/>
    <w:rPr>
      <w:b/>
      <w:bCs/>
      <w:color w:val="000000"/>
      <w:sz w:val="19"/>
      <w:szCs w:val="19"/>
    </w:rPr>
  </w:style>
  <w:style w:type="paragraph" w:styleId="1054" w:customStyle="1">
    <w:name w:val="样式 标题 2 + 宋体 小四"/>
    <w:basedOn w:val="732"/>
    <w:next w:val="754"/>
    <w:uiPriority w:val="0"/>
    <w:qFormat/>
    <w:pPr>
      <w:spacing w:line="415" w:lineRule="auto"/>
    </w:pPr>
    <w:rPr>
      <w:rFonts w:ascii="宋体" w:hAnsi="宋体" w:eastAsia="宋体"/>
      <w:sz w:val="24"/>
    </w:rPr>
  </w:style>
  <w:style w:type="paragraph" w:styleId="1055" w:customStyle="1">
    <w:name w:val="CM20"/>
    <w:basedOn w:val="730"/>
    <w:next w:val="730"/>
    <w:uiPriority w:val="0"/>
    <w:qFormat/>
    <w:pPr>
      <w:jc w:val="left"/>
      <w:spacing w:after="115"/>
    </w:pPr>
    <w:rPr>
      <w:rFonts w:ascii=".a..DD.." w:eastAsia=".a..DD.."/>
      <w:sz w:val="24"/>
    </w:rPr>
  </w:style>
  <w:style w:type="paragraph" w:styleId="1056" w:customStyle="1">
    <w:name w:val="标准"/>
    <w:basedOn w:val="730"/>
    <w:uiPriority w:val="0"/>
    <w:qFormat/>
    <w:pPr>
      <w:spacing w:line="240" w:lineRule="atLeast"/>
    </w:pPr>
    <w:rPr>
      <w:rFonts w:eastAsia="楷体_GB2312"/>
      <w:sz w:val="24"/>
      <w:szCs w:val="20"/>
    </w:rPr>
  </w:style>
  <w:style w:type="paragraph" w:styleId="1057" w:customStyle="1">
    <w:name w:val="CM3"/>
    <w:basedOn w:val="1058"/>
    <w:next w:val="1058"/>
    <w:uiPriority w:val="0"/>
    <w:qFormat/>
    <w:pPr>
      <w:spacing w:line="626" w:lineRule="atLeast"/>
    </w:pPr>
    <w:rPr>
      <w:color w:val="auto"/>
    </w:rPr>
  </w:style>
  <w:style w:type="paragraph" w:styleId="1058" w:customStyle="1">
    <w:name w:val="Default"/>
    <w:uiPriority w:val="0"/>
    <w:qFormat/>
    <w:pPr>
      <w:widowControl w:val="off"/>
    </w:pPr>
    <w:rPr>
      <w:rFonts w:ascii=".a..DD.." w:hAnsi="Times New Roman" w:eastAsia=".a..DD.." w:cs="Times New Roman"/>
      <w:color w:val="000000"/>
      <w:sz w:val="24"/>
      <w:szCs w:val="24"/>
      <w:lang w:val="en-US" w:eastAsia="zh-CN" w:bidi="ar-SA"/>
    </w:rPr>
  </w:style>
  <w:style w:type="paragraph" w:styleId="1059" w:customStyle="1">
    <w:name w:val="Char21"/>
    <w:basedOn w:val="730"/>
    <w:uiPriority w:val="0"/>
    <w:qFormat/>
    <w:rPr>
      <w:rFonts w:ascii="Tahoma" w:hAnsi="Tahoma"/>
      <w:sz w:val="24"/>
      <w:szCs w:val="20"/>
    </w:rPr>
  </w:style>
  <w:style w:type="paragraph" w:styleId="1060" w:customStyle="1">
    <w:name w:val="6"/>
    <w:basedOn w:val="730"/>
    <w:next w:val="750"/>
    <w:uiPriority w:val="0"/>
    <w:qFormat/>
    <w:pPr>
      <w:spacing w:after="120"/>
    </w:pPr>
  </w:style>
  <w:style w:type="paragraph" w:styleId="1061" w:customStyle="1">
    <w:name w:val="标题 61"/>
    <w:basedOn w:val="730"/>
    <w:uiPriority w:val="0"/>
    <w:qFormat/>
    <w:pPr>
      <w:jc w:val="left"/>
      <w:widowControl/>
      <w:outlineLvl w:val="6"/>
    </w:pPr>
    <w:rPr>
      <w:rFonts w:ascii="宋体" w:hAnsi="宋体" w:cs="宋体"/>
      <w:color w:val="00569b"/>
      <w:szCs w:val="21"/>
    </w:rPr>
  </w:style>
  <w:style w:type="paragraph" w:styleId="1062" w:customStyle="1">
    <w:name w:val="项符&gt;"/>
    <w:basedOn w:val="730"/>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63" w:customStyle="1">
    <w:name w:val="样式1"/>
    <w:basedOn w:val="731"/>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64" w:customStyle="1">
    <w:name w:val="样式2"/>
    <w:basedOn w:val="732"/>
    <w:uiPriority w:val="0"/>
    <w:qFormat/>
    <w:pPr>
      <w:numPr>
        <w:ilvl w:val="0"/>
        <w:numId w:val="6"/>
      </w:numPr>
      <w:spacing w:line="415" w:lineRule="auto"/>
      <w:tabs>
        <w:tab w:val="left" w:pos="840" w:leader="none"/>
      </w:tabs>
    </w:pPr>
    <w:rPr>
      <w:rFonts w:eastAsia="宋体"/>
      <w:sz w:val="24"/>
    </w:rPr>
  </w:style>
  <w:style w:type="paragraph" w:styleId="1065" w:customStyle="1">
    <w:name w:val="CM2"/>
    <w:basedOn w:val="1058"/>
    <w:next w:val="1058"/>
    <w:uiPriority w:val="0"/>
    <w:qFormat/>
    <w:pPr>
      <w:spacing w:line="623" w:lineRule="atLeast"/>
    </w:pPr>
    <w:rPr>
      <w:color w:val="auto"/>
    </w:rPr>
  </w:style>
  <w:style w:type="paragraph" w:styleId="1066" w:customStyle="1">
    <w:name w:val="样式 Verdana 首行缩进:  0.74 厘米"/>
    <w:basedOn w:val="730"/>
    <w:uiPriority w:val="0"/>
    <w:qFormat/>
    <w:pPr>
      <w:ind w:firstLine="420"/>
      <w:spacing w:line="360" w:lineRule="auto"/>
    </w:pPr>
    <w:rPr>
      <w:rFonts w:ascii="Verdana" w:hAnsi="Verdana" w:cs="宋体"/>
      <w:sz w:val="24"/>
      <w:szCs w:val="20"/>
    </w:rPr>
  </w:style>
  <w:style w:type="paragraph" w:styleId="1067" w:customStyle="1">
    <w:name w:val="样式 正文（首行缩进两字） + 首行缩进:  2 字符"/>
    <w:basedOn w:val="743"/>
    <w:uiPriority w:val="0"/>
    <w:qFormat/>
    <w:pPr>
      <w:ind w:firstLine="200"/>
      <w:jc w:val="both"/>
    </w:pPr>
    <w:rPr>
      <w:rFonts w:eastAsia="宋体"/>
      <w:sz w:val="21"/>
      <w:szCs w:val="24"/>
    </w:rPr>
  </w:style>
  <w:style w:type="paragraph" w:styleId="1068" w:customStyle="1">
    <w:name w:val="样式3"/>
    <w:basedOn w:val="1064"/>
    <w:next w:val="1064"/>
    <w:uiPriority w:val="0"/>
    <w:qFormat/>
  </w:style>
  <w:style w:type="paragraph" w:styleId="1069" w:customStyle="1">
    <w:name w:val="Char Char Char Char"/>
    <w:basedOn w:val="730"/>
    <w:uiPriority w:val="0"/>
    <w:qFormat/>
  </w:style>
  <w:style w:type="paragraph" w:styleId="1070" w:customStyle="1">
    <w:name w:val="Definition Term"/>
    <w:basedOn w:val="730"/>
    <w:next w:val="730"/>
    <w:uiPriority w:val="0"/>
    <w:qFormat/>
    <w:pPr>
      <w:jc w:val="left"/>
      <w:widowControl/>
    </w:pPr>
    <w:rPr>
      <w:sz w:val="20"/>
      <w:lang w:eastAsia="en-US"/>
    </w:rPr>
  </w:style>
  <w:style w:type="paragraph" w:styleId="1071" w:customStyle="1">
    <w:name w:val="7"/>
    <w:basedOn w:val="730"/>
    <w:next w:val="758"/>
    <w:uiPriority w:val="0"/>
    <w:qFormat/>
    <w:rPr>
      <w:rFonts w:ascii="宋体" w:hAnsi="Courier New"/>
      <w:sz w:val="24"/>
      <w:szCs w:val="20"/>
    </w:rPr>
  </w:style>
  <w:style w:type="paragraph" w:styleId="1072" w:customStyle="1">
    <w:name w:val="Char3"/>
    <w:basedOn w:val="730"/>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73" w:customStyle="1">
    <w:name w:val="-"/>
    <w:basedOn w:val="730"/>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74" w:customStyle="1">
    <w:name w:val="style8801"/>
    <w:basedOn w:val="730"/>
    <w:uiPriority w:val="0"/>
    <w:qFormat/>
    <w:pPr>
      <w:jc w:val="left"/>
      <w:spacing w:before="100" w:beforeAutospacing="1" w:after="100" w:afterAutospacing="1"/>
      <w:widowControl/>
    </w:pPr>
    <w:rPr>
      <w:rFonts w:ascii="宋体" w:hAnsi="宋体" w:cs="宋体"/>
      <w:color w:val="000000"/>
      <w:sz w:val="24"/>
    </w:rPr>
  </w:style>
  <w:style w:type="paragraph" w:styleId="1075" w:customStyle="1">
    <w:name w:val="biaoge1"/>
    <w:basedOn w:val="730"/>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76" w:customStyle="1">
    <w:name w:val="info4"/>
    <w:uiPriority w:val="0"/>
    <w:qFormat/>
  </w:style>
  <w:style w:type="paragraph" w:styleId="1077">
    <w:name w:val="No Spacing"/>
    <w:basedOn w:val="730"/>
    <w:link w:val="1078"/>
    <w:uiPriority w:val="0"/>
    <w:qFormat/>
    <w:pPr>
      <w:jc w:val="left"/>
      <w:widowControl/>
    </w:pPr>
    <w:rPr>
      <w:rFonts w:ascii="Cambria" w:hAnsi="Cambria"/>
      <w:sz w:val="22"/>
      <w:szCs w:val="22"/>
      <w:lang w:eastAsia="en-US" w:bidi="en-US"/>
    </w:rPr>
  </w:style>
  <w:style w:type="character" w:styleId="1078" w:customStyle="1">
    <w:name w:val="无间隔 字符"/>
    <w:link w:val="1077"/>
    <w:uiPriority w:val="0"/>
    <w:qFormat/>
    <w:rPr>
      <w:rFonts w:ascii="Cambria" w:hAnsi="Cambria" w:eastAsia="宋体"/>
      <w:sz w:val="22"/>
      <w:szCs w:val="22"/>
      <w:lang w:val="en-US" w:eastAsia="en-US" w:bidi="en-US"/>
    </w:rPr>
  </w:style>
  <w:style w:type="paragraph" w:styleId="1079">
    <w:name w:val="Quote"/>
    <w:basedOn w:val="730"/>
    <w:next w:val="730"/>
    <w:link w:val="1080"/>
    <w:uiPriority w:val="0"/>
    <w:qFormat/>
    <w:pPr>
      <w:jc w:val="left"/>
      <w:spacing w:after="200" w:line="276" w:lineRule="auto"/>
      <w:widowControl/>
    </w:pPr>
    <w:rPr>
      <w:rFonts w:ascii="Cambria" w:hAnsi="Cambria"/>
      <w:i/>
      <w:iCs/>
      <w:sz w:val="22"/>
      <w:szCs w:val="22"/>
      <w:lang w:eastAsia="en-US" w:bidi="en-US"/>
    </w:rPr>
  </w:style>
  <w:style w:type="character" w:styleId="1080" w:customStyle="1">
    <w:name w:val="引用 字符"/>
    <w:link w:val="1079"/>
    <w:uiPriority w:val="0"/>
    <w:qFormat/>
    <w:rPr>
      <w:rFonts w:ascii="Cambria" w:hAnsi="Cambria" w:eastAsia="宋体"/>
      <w:i/>
      <w:iCs/>
      <w:sz w:val="22"/>
      <w:szCs w:val="22"/>
      <w:lang w:val="en-US" w:eastAsia="en-US" w:bidi="en-US"/>
    </w:rPr>
  </w:style>
  <w:style w:type="paragraph" w:styleId="1081">
    <w:name w:val="Intense Quote"/>
    <w:basedOn w:val="730"/>
    <w:next w:val="730"/>
    <w:link w:val="1082"/>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82" w:customStyle="1">
    <w:name w:val="明显引用 字符"/>
    <w:link w:val="1081"/>
    <w:uiPriority w:val="0"/>
    <w:qFormat/>
    <w:rPr>
      <w:rFonts w:ascii="Cambria" w:hAnsi="Cambria" w:eastAsia="宋体"/>
      <w:i/>
      <w:iCs/>
      <w:sz w:val="22"/>
      <w:szCs w:val="22"/>
      <w:lang w:val="en-US" w:eastAsia="en-US" w:bidi="en-US"/>
    </w:rPr>
  </w:style>
  <w:style w:type="paragraph" w:styleId="1083" w:customStyle="1">
    <w:name w:val="TOC 标题11"/>
    <w:basedOn w:val="731"/>
    <w:next w:val="730"/>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084" w:customStyle="1">
    <w:name w:val="浅色列表 - 强调文字颜色 11"/>
    <w:basedOn w:val="741"/>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85" w:customStyle="1">
    <w:name w:val="浅色网格 - 强调文字颜色 11"/>
    <w:basedOn w:val="741"/>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86" w:customStyle="1">
    <w:name w:val="navtext"/>
    <w:basedOn w:val="730"/>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87" w:customStyle="1">
    <w:name w:val="锐丰正文 Char"/>
    <w:basedOn w:val="730"/>
    <w:link w:val="1088"/>
    <w:uiPriority w:val="0"/>
    <w:qFormat/>
    <w:pPr>
      <w:ind w:firstLine="200"/>
      <w:spacing w:line="520" w:lineRule="exact"/>
    </w:pPr>
    <w:rPr>
      <w:rFonts w:ascii="Calibri" w:hAnsi="Calibri" w:eastAsia="楷体_GB2312"/>
      <w:sz w:val="28"/>
      <w:lang w:eastAsia="en-US" w:bidi="en-US"/>
    </w:rPr>
  </w:style>
  <w:style w:type="character" w:styleId="1088" w:customStyle="1">
    <w:name w:val="锐丰正文 Char Char"/>
    <w:link w:val="1087"/>
    <w:uiPriority w:val="0"/>
    <w:qFormat/>
    <w:rPr>
      <w:rFonts w:eastAsia="楷体_GB2312"/>
      <w:sz w:val="28"/>
      <w:szCs w:val="24"/>
      <w:lang w:val="en-US" w:eastAsia="en-US" w:bidi="en-US"/>
    </w:rPr>
  </w:style>
  <w:style w:type="paragraph" w:styleId="1089" w:customStyle="1">
    <w:name w:val="锐丰图片"/>
    <w:link w:val="1090"/>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90" w:customStyle="1">
    <w:name w:val="锐丰图片 Char"/>
    <w:link w:val="1089"/>
    <w:uiPriority w:val="0"/>
    <w:qFormat/>
    <w:rPr>
      <w:rFonts w:eastAsia="楷体_GB2312"/>
      <w:color w:val="0000ff"/>
      <w:sz w:val="28"/>
      <w:szCs w:val="28"/>
      <w:lang w:val="en-US" w:eastAsia="zh-CN" w:bidi="ar-SA"/>
    </w:rPr>
  </w:style>
  <w:style w:type="paragraph" w:styleId="1091" w:customStyle="1">
    <w:name w:val="锐丰图片 Char Char"/>
    <w:link w:val="1092"/>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092" w:customStyle="1">
    <w:name w:val="锐丰图片 Char Char Char"/>
    <w:link w:val="1091"/>
    <w:uiPriority w:val="0"/>
    <w:qFormat/>
    <w:rPr>
      <w:rFonts w:eastAsia="楷体_GB2312"/>
      <w:color w:val="0000ff"/>
      <w:sz w:val="28"/>
      <w:szCs w:val="28"/>
      <w:lang w:val="en-US" w:eastAsia="zh-CN" w:bidi="ar-SA"/>
    </w:rPr>
  </w:style>
  <w:style w:type="paragraph" w:styleId="1093" w:customStyle="1">
    <w:name w:val="样式 样式 标题 4 + 楷体_GB2312 非加粗 段前: 0 磅 段后: 0 磅 + 段前: 0.5 行"/>
    <w:basedOn w:val="730"/>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094" w:customStyle="1">
    <w:name w:val="锐丰表格"/>
    <w:basedOn w:val="730"/>
    <w:uiPriority w:val="0"/>
    <w:qFormat/>
    <w:pPr>
      <w:jc w:val="left"/>
    </w:pPr>
    <w:rPr>
      <w:rFonts w:ascii="Arial" w:hAnsi="Arial" w:cs="Arial"/>
      <w:sz w:val="24"/>
      <w:lang w:eastAsia="en-US" w:bidi="en-US"/>
    </w:rPr>
  </w:style>
  <w:style w:type="paragraph" w:styleId="1095" w:customStyle="1">
    <w:name w:val="bodytext"/>
    <w:basedOn w:val="730"/>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096" w:customStyle="1">
    <w:name w:val="样式 (中文) 楷体_GB2312 四号 左 行距: 固定值 28 磅"/>
    <w:basedOn w:val="730"/>
    <w:uiPriority w:val="0"/>
    <w:qFormat/>
    <w:pPr>
      <w:ind w:firstLine="200"/>
      <w:jc w:val="left"/>
      <w:spacing w:line="560" w:lineRule="exact"/>
    </w:pPr>
    <w:rPr>
      <w:rFonts w:eastAsia="楷体_GB2312" w:cs="宋体"/>
      <w:sz w:val="28"/>
      <w:szCs w:val="22"/>
      <w:lang w:eastAsia="en-US" w:bidi="en-US"/>
    </w:rPr>
  </w:style>
  <w:style w:type="paragraph" w:styleId="1097" w:customStyle="1">
    <w:name w:val="锐丰正文"/>
    <w:basedOn w:val="730"/>
    <w:uiPriority w:val="0"/>
    <w:qFormat/>
    <w:pPr>
      <w:ind w:firstLine="200"/>
      <w:spacing w:line="520" w:lineRule="exact"/>
    </w:pPr>
    <w:rPr>
      <w:rFonts w:eastAsia="楷体_GB2312"/>
      <w:sz w:val="28"/>
      <w:lang w:eastAsia="en-US" w:bidi="en-US"/>
    </w:rPr>
  </w:style>
  <w:style w:type="paragraph" w:styleId="1098" w:customStyle="1">
    <w:name w:val="锐丰编号3"/>
    <w:basedOn w:val="1097"/>
    <w:uiPriority w:val="0"/>
    <w:qFormat/>
    <w:pPr>
      <w:numPr>
        <w:ilvl w:val="0"/>
        <w:numId w:val="7"/>
      </w:numPr>
      <w:ind w:firstLine="0"/>
    </w:pPr>
    <w:rPr>
      <w:szCs w:val="20"/>
    </w:rPr>
  </w:style>
  <w:style w:type="paragraph" w:styleId="1099" w:customStyle="1">
    <w:name w:val="锐丰编号二"/>
    <w:basedOn w:val="1097"/>
    <w:uiPriority w:val="0"/>
    <w:qFormat/>
    <w:pPr>
      <w:numPr>
        <w:ilvl w:val="0"/>
        <w:numId w:val="8"/>
      </w:numPr>
      <w:ind w:firstLine="0"/>
    </w:pPr>
    <w:rPr>
      <w:szCs w:val="20"/>
    </w:rPr>
  </w:style>
  <w:style w:type="paragraph" w:styleId="1100" w:customStyle="1">
    <w:name w:val="样式 宋体 小三 行距: 1.5 倍行距1"/>
    <w:basedOn w:val="750"/>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01" w:customStyle="1">
    <w:name w:val="bigtitle1"/>
    <w:uiPriority w:val="0"/>
    <w:qFormat/>
    <w:rPr>
      <w:rFonts w:hint="default" w:ascii="Arial" w:hAnsi="Arial" w:cs="Arial"/>
      <w:color w:val="263470"/>
      <w:sz w:val="48"/>
      <w:szCs w:val="48"/>
    </w:rPr>
  </w:style>
  <w:style w:type="character" w:styleId="1102" w:customStyle="1">
    <w:name w:val="product_nav_bg1"/>
    <w:basedOn w:val="740"/>
    <w:uiPriority w:val="0"/>
    <w:qFormat/>
  </w:style>
  <w:style w:type="paragraph" w:styleId="1103" w:customStyle="1">
    <w:name w:val="标题 3 + 宋体"/>
    <w:basedOn w:val="732"/>
    <w:uiPriority w:val="0"/>
    <w:qFormat/>
    <w:pPr>
      <w:keepLines w:val="0"/>
      <w:spacing w:before="0" w:after="0" w:line="360" w:lineRule="auto"/>
    </w:pPr>
    <w:rPr>
      <w:rFonts w:ascii="宋体" w:hAnsi="宋体" w:eastAsia="宋体"/>
      <w:caps/>
      <w:smallCaps/>
      <w:color w:val="000000"/>
      <w:sz w:val="21"/>
      <w:szCs w:val="21"/>
      <w:lang w:bidi="en-US"/>
    </w:rPr>
  </w:style>
  <w:style w:type="paragraph" w:styleId="1104" w:customStyle="1">
    <w:name w:val="样式 样式 标题 2H2Heading 2 HiddenHeading 2 CCBS部分标题h2Underrubrik1... ..."/>
    <w:basedOn w:val="730"/>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05" w:customStyle="1">
    <w:name w:val="列出段落1"/>
    <w:basedOn w:val="730"/>
    <w:uiPriority w:val="0"/>
    <w:qFormat/>
    <w:pPr>
      <w:ind w:firstLine="420"/>
    </w:pPr>
    <w:rPr>
      <w:sz w:val="28"/>
    </w:rPr>
  </w:style>
  <w:style w:type="character" w:styleId="1106" w:customStyle="1">
    <w:name w:val="Heading 3 Char"/>
    <w:uiPriority w:val="0"/>
    <w:qFormat/>
    <w:rPr>
      <w:rFonts w:eastAsia="黑体" w:cs="Times New Roman"/>
      <w:b/>
      <w:bCs/>
      <w:sz w:val="32"/>
      <w:szCs w:val="32"/>
    </w:rPr>
  </w:style>
  <w:style w:type="character" w:styleId="1107" w:customStyle="1">
    <w:name w:val="short_text"/>
    <w:basedOn w:val="740"/>
    <w:uiPriority w:val="0"/>
    <w:qFormat/>
  </w:style>
  <w:style w:type="character" w:styleId="1108" w:customStyle="1">
    <w:name w:val="普通文字 Char1"/>
    <w:uiPriority w:val="0"/>
    <w:qFormat/>
    <w:rPr>
      <w:rFonts w:ascii="宋体" w:hAnsi="Courier New" w:eastAsia="楷体_GB2312"/>
      <w:sz w:val="28"/>
      <w:lang w:val="en-US" w:eastAsia="zh-CN" w:bidi="ar-SA"/>
    </w:rPr>
  </w:style>
  <w:style w:type="paragraph" w:styleId="1109" w:customStyle="1">
    <w:name w:val="样式 仿宋_GB2312 四号 黑色 行距: 1.5 倍行距1"/>
    <w:basedOn w:val="730"/>
    <w:uiPriority w:val="0"/>
    <w:qFormat/>
    <w:pPr>
      <w:spacing w:line="360" w:lineRule="auto"/>
    </w:pPr>
    <w:rPr>
      <w:rFonts w:ascii="仿宋_GB2312" w:hAnsi="宋体" w:eastAsia="仿宋_GB2312"/>
      <w:color w:val="000000"/>
      <w:sz w:val="24"/>
      <w:szCs w:val="20"/>
    </w:rPr>
  </w:style>
  <w:style w:type="character" w:styleId="1110"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11" w:customStyle="1">
    <w:name w:val="纯文本3"/>
    <w:basedOn w:val="730"/>
    <w:uiPriority w:val="0"/>
    <w:qFormat/>
    <w:rPr>
      <w:rFonts w:hint="eastAsia" w:ascii="宋体" w:hAnsi="Courier New" w:eastAsia="楷体_GB2312"/>
      <w:sz w:val="28"/>
      <w:szCs w:val="20"/>
    </w:rPr>
  </w:style>
  <w:style w:type="paragraph" w:styleId="1112" w:customStyle="1">
    <w:name w:val="p0"/>
    <w:basedOn w:val="730"/>
    <w:uiPriority w:val="0"/>
    <w:qFormat/>
    <w:pPr>
      <w:jc w:val="left"/>
      <w:spacing w:before="100" w:beforeAutospacing="1" w:after="100" w:afterAutospacing="1"/>
      <w:widowControl/>
    </w:pPr>
    <w:rPr>
      <w:rFonts w:ascii="宋体" w:hAnsi="宋体" w:cs="宋体"/>
      <w:sz w:val="24"/>
    </w:rPr>
  </w:style>
  <w:style w:type="paragraph" w:styleId="1113" w:customStyle="1">
    <w:name w:val="p15"/>
    <w:basedOn w:val="730"/>
    <w:uiPriority w:val="0"/>
    <w:qFormat/>
    <w:pPr>
      <w:widowControl/>
    </w:pPr>
    <w:rPr>
      <w:rFonts w:ascii="宋体" w:hAnsi="宋体" w:cs="宋体"/>
      <w:sz w:val="28"/>
      <w:szCs w:val="28"/>
    </w:rPr>
  </w:style>
  <w:style w:type="paragraph" w:styleId="1114" w:customStyle="1">
    <w:name w:val="纯文本11"/>
    <w:basedOn w:val="730"/>
    <w:link w:val="1115"/>
    <w:uiPriority w:val="0"/>
    <w:qFormat/>
    <w:rPr>
      <w:rFonts w:ascii="宋体" w:hAnsi="Courier New" w:eastAsia="楷体_GB2312"/>
      <w:sz w:val="28"/>
      <w:szCs w:val="20"/>
    </w:rPr>
  </w:style>
  <w:style w:type="character" w:styleId="1115" w:customStyle="1">
    <w:name w:val="Plain Text Char Char"/>
    <w:link w:val="1114"/>
    <w:uiPriority w:val="0"/>
    <w:qFormat/>
    <w:rPr>
      <w:rFonts w:ascii="宋体" w:hAnsi="Courier New" w:eastAsia="楷体_GB2312"/>
      <w:sz w:val="28"/>
    </w:rPr>
  </w:style>
  <w:style w:type="paragraph" w:styleId="1116" w:customStyle="1">
    <w:name w:val="列出段落4"/>
    <w:basedOn w:val="730"/>
    <w:uiPriority w:val="34"/>
    <w:qFormat/>
    <w:pPr>
      <w:ind w:firstLine="420"/>
      <w:jc w:val="left"/>
      <w:spacing w:after="200"/>
      <w:widowControl/>
    </w:pPr>
    <w:rPr>
      <w:rFonts w:ascii="Tahoma" w:hAnsi="Tahoma" w:eastAsia="微软雅黑"/>
      <w:sz w:val="22"/>
      <w:szCs w:val="22"/>
    </w:rPr>
  </w:style>
  <w:style w:type="character" w:styleId="1117" w:customStyle="1">
    <w:name w:val="正文缩进 字符"/>
    <w:uiPriority w:val="0"/>
    <w:qFormat/>
    <w:rPr>
      <w:rFonts w:eastAsia="楷体_GB2312"/>
      <w:sz w:val="24"/>
      <w:lang w:val="en-US" w:eastAsia="zh-CN" w:bidi="ar-SA"/>
    </w:rPr>
  </w:style>
  <w:style w:type="paragraph" w:styleId="1118" w:customStyle="1">
    <w:name w:val="纯文本2"/>
    <w:basedOn w:val="730"/>
    <w:uiPriority w:val="0"/>
    <w:qFormat/>
    <w:rPr>
      <w:rFonts w:hint="eastAsia" w:ascii="宋体" w:hAnsi="Courier New" w:eastAsia="楷体_GB2312"/>
      <w:sz w:val="28"/>
      <w:szCs w:val="20"/>
    </w:rPr>
  </w:style>
  <w:style w:type="paragraph" w:styleId="1119" w:customStyle="1">
    <w:name w:val="纯文本4"/>
    <w:basedOn w:val="730"/>
    <w:uiPriority w:val="0"/>
    <w:qFormat/>
    <w:rPr>
      <w:rFonts w:ascii="宋体" w:hAnsi="Courier New" w:eastAsia="楷体_GB2312"/>
      <w:sz w:val="28"/>
      <w:szCs w:val="20"/>
    </w:rPr>
  </w:style>
  <w:style w:type="character" w:styleId="1120" w:customStyle="1">
    <w:name w:val="标题 2 字符"/>
    <w:uiPriority w:val="9"/>
    <w:qFormat/>
    <w:rPr>
      <w:rFonts w:ascii="Arial" w:hAnsi="Arial" w:eastAsia="黑体"/>
      <w:b/>
      <w:bCs/>
      <w:sz w:val="32"/>
      <w:szCs w:val="32"/>
    </w:rPr>
  </w:style>
  <w:style w:type="paragraph" w:styleId="1121" w:customStyle="1">
    <w:name w:val="纯文本41"/>
    <w:basedOn w:val="730"/>
    <w:uiPriority w:val="0"/>
    <w:qFormat/>
    <w:rPr>
      <w:rFonts w:ascii="宋体" w:hAnsi="Courier New" w:eastAsia="楷体_GB2312"/>
      <w:sz w:val="28"/>
      <w:szCs w:val="20"/>
    </w:rPr>
  </w:style>
  <w:style w:type="character" w:styleId="1122" w:customStyle="1">
    <w:name w:val="批注文字 字符"/>
    <w:basedOn w:val="740"/>
    <w:link w:val="746"/>
    <w:uiPriority w:val="0"/>
    <w:semiHidden/>
    <w:qFormat/>
    <w:rPr>
      <w:rFonts w:ascii="Times New Roman" w:hAnsi="Times New Roman"/>
      <w:sz w:val="21"/>
      <w:szCs w:val="24"/>
    </w:rPr>
  </w:style>
  <w:style w:type="paragraph" w:styleId="1123" w:customStyle="1">
    <w:name w:val="纯文本12"/>
    <w:basedOn w:val="730"/>
    <w:uiPriority w:val="0"/>
    <w:qFormat/>
    <w:rPr>
      <w:rFonts w:ascii="宋体" w:hAnsi="Courier New" w:eastAsia="楷体_GB2312"/>
      <w:sz w:val="28"/>
      <w:szCs w:val="20"/>
    </w:rPr>
  </w:style>
  <w:style w:type="character" w:styleId="1124" w:customStyle="1">
    <w:name w:val="正文文本缩进 Char1"/>
    <w:uiPriority w:val="0"/>
    <w:qFormat/>
    <w:rPr>
      <w:rFonts w:ascii="方正仿宋简体" w:hAnsi="创艺简仿宋" w:eastAsia="方正仿宋简体"/>
      <w:sz w:val="24"/>
    </w:rPr>
  </w:style>
  <w:style w:type="character" w:styleId="1125" w:customStyle="1">
    <w:name w:val="批注主题 字符"/>
    <w:basedOn w:val="1122"/>
    <w:link w:val="782"/>
    <w:uiPriority w:val="0"/>
    <w:semiHidden/>
    <w:qFormat/>
    <w:rPr>
      <w:rFonts w:ascii="Times New Roman" w:hAnsi="Times New Roman"/>
      <w:b/>
      <w:bCs/>
      <w:sz w:val="21"/>
      <w:szCs w:val="24"/>
    </w:rPr>
  </w:style>
  <w:style w:type="paragraph" w:styleId="1126" w:customStyle="1">
    <w:name w:val="*正文"/>
    <w:basedOn w:val="730"/>
    <w:uiPriority w:val="0"/>
    <w:qFormat/>
    <w:pPr>
      <w:ind w:firstLine="480"/>
      <w:spacing w:line="360" w:lineRule="auto"/>
    </w:pPr>
    <w:rPr>
      <w:rFonts w:ascii="Arial" w:hAnsi="Arial" w:cs="宋体"/>
      <w:sz w:val="28"/>
      <w:szCs w:val="21"/>
    </w:rPr>
  </w:style>
  <w:style w:type="paragraph" w:styleId="1127" w:customStyle="1">
    <w:name w:val="msonormal"/>
    <w:basedOn w:val="730"/>
    <w:uiPriority w:val="0"/>
    <w:qFormat/>
    <w:pPr>
      <w:jc w:val="left"/>
      <w:spacing w:before="100" w:beforeAutospacing="1" w:after="100" w:afterAutospacing="1"/>
      <w:widowControl/>
    </w:pPr>
    <w:rPr>
      <w:rFonts w:ascii="宋体" w:hAnsi="宋体" w:cs="宋体"/>
      <w:sz w:val="24"/>
    </w:rPr>
  </w:style>
  <w:style w:type="paragraph" w:styleId="1128" w:customStyle="1">
    <w:name w:val="font6"/>
    <w:basedOn w:val="730"/>
    <w:uiPriority w:val="0"/>
    <w:qFormat/>
    <w:pPr>
      <w:jc w:val="left"/>
      <w:spacing w:before="100" w:beforeAutospacing="1" w:after="100" w:afterAutospacing="1"/>
      <w:widowControl/>
    </w:pPr>
    <w:rPr>
      <w:rFonts w:ascii="Calibri" w:hAnsi="Calibri" w:cs="Calibri"/>
      <w:color w:val="000000"/>
      <w:szCs w:val="21"/>
    </w:rPr>
  </w:style>
  <w:style w:type="paragraph" w:styleId="1129" w:customStyle="1">
    <w:name w:val="font7"/>
    <w:basedOn w:val="730"/>
    <w:uiPriority w:val="0"/>
    <w:qFormat/>
    <w:pPr>
      <w:jc w:val="left"/>
      <w:spacing w:before="100" w:beforeAutospacing="1" w:after="100" w:afterAutospacing="1"/>
      <w:widowControl/>
    </w:pPr>
    <w:rPr>
      <w:rFonts w:ascii="宋体" w:hAnsi="宋体" w:cs="宋体"/>
      <w:color w:val="000000"/>
      <w:szCs w:val="21"/>
    </w:rPr>
  </w:style>
  <w:style w:type="paragraph" w:styleId="1130" w:customStyle="1">
    <w:name w:val="font8"/>
    <w:basedOn w:val="730"/>
    <w:uiPriority w:val="0"/>
    <w:qFormat/>
    <w:pPr>
      <w:jc w:val="left"/>
      <w:spacing w:before="100" w:beforeAutospacing="1" w:after="100" w:afterAutospacing="1"/>
      <w:widowControl/>
    </w:pPr>
    <w:rPr>
      <w:rFonts w:ascii="Calibri" w:hAnsi="Calibri" w:cs="Calibri"/>
      <w:color w:val="000000"/>
      <w:szCs w:val="21"/>
    </w:rPr>
  </w:style>
  <w:style w:type="paragraph" w:styleId="1131" w:customStyle="1">
    <w:name w:val="font9"/>
    <w:basedOn w:val="730"/>
    <w:uiPriority w:val="0"/>
    <w:qFormat/>
    <w:pPr>
      <w:jc w:val="left"/>
      <w:spacing w:before="100" w:beforeAutospacing="1" w:after="100" w:afterAutospacing="1"/>
      <w:widowControl/>
    </w:pPr>
    <w:rPr>
      <w:rFonts w:ascii="Calibri" w:hAnsi="Calibri" w:cs="Calibri"/>
      <w:color w:val="333333"/>
      <w:szCs w:val="21"/>
    </w:rPr>
  </w:style>
  <w:style w:type="paragraph" w:styleId="1132" w:customStyle="1">
    <w:name w:val="font10"/>
    <w:basedOn w:val="730"/>
    <w:uiPriority w:val="0"/>
    <w:qFormat/>
    <w:pPr>
      <w:jc w:val="left"/>
      <w:spacing w:before="100" w:beforeAutospacing="1" w:after="100" w:afterAutospacing="1"/>
      <w:widowControl/>
    </w:pPr>
    <w:rPr>
      <w:rFonts w:ascii="宋体" w:hAnsi="宋体" w:cs="宋体"/>
      <w:color w:val="333333"/>
      <w:szCs w:val="21"/>
    </w:rPr>
  </w:style>
  <w:style w:type="paragraph" w:styleId="1133" w:customStyle="1">
    <w:name w:val="xl65"/>
    <w:basedOn w:val="73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34" w:customStyle="1">
    <w:name w:val="xl66"/>
    <w:basedOn w:val="730"/>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35" w:customStyle="1">
    <w:name w:val="xl67"/>
    <w:basedOn w:val="73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36" w:customStyle="1">
    <w:name w:val="xl68"/>
    <w:basedOn w:val="73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37" w:customStyle="1">
    <w:name w:val="xl69"/>
    <w:basedOn w:val="73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38" w:customStyle="1">
    <w:name w:val="xl70"/>
    <w:basedOn w:val="7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39" w:customStyle="1">
    <w:name w:val="xl71"/>
    <w:basedOn w:val="73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40" w:customStyle="1">
    <w:name w:val="xl72"/>
    <w:basedOn w:val="73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41" w:customStyle="1">
    <w:name w:val="xl73"/>
    <w:basedOn w:val="730"/>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42" w:customStyle="1">
    <w:name w:val="xl74"/>
    <w:basedOn w:val="73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43" w:customStyle="1">
    <w:name w:val="Plain Text11"/>
    <w:basedOn w:val="730"/>
    <w:uiPriority w:val="0"/>
    <w:qFormat/>
    <w:rPr>
      <w:rFonts w:ascii="宋体" w:hAnsi="Courier New" w:eastAsia="楷体_GB2312"/>
      <w:sz w:val="28"/>
      <w:szCs w:val="20"/>
    </w:rPr>
  </w:style>
  <w:style w:type="paragraph" w:styleId="1144" w:customStyle="1">
    <w:name w:val="列出段落3"/>
    <w:basedOn w:val="730"/>
    <w:uiPriority w:val="34"/>
    <w:qFormat/>
    <w:pPr>
      <w:ind w:firstLine="420"/>
    </w:pPr>
  </w:style>
  <w:style w:type="character" w:styleId="1145" w:customStyle="1">
    <w:name w:val="font31"/>
    <w:uiPriority w:val="0"/>
    <w:qFormat/>
    <w:rPr>
      <w:rFonts w:hint="eastAsia" w:ascii="宋体" w:hAnsi="宋体" w:eastAsia="宋体" w:cs="宋体"/>
      <w:color w:val="333333"/>
      <w:sz w:val="21"/>
      <w:szCs w:val="21"/>
      <w:u w:val="none"/>
    </w:rPr>
  </w:style>
  <w:style w:type="paragraph" w:styleId="1146" w:customStyle="1">
    <w:name w:val="正文文本1"/>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1147" w:customStyle="1">
    <w:name w:val="正文首行缩进 21"/>
    <w:uiPriority w:val="99"/>
    <w:unhideWhenUsed/>
    <w:qFormat/>
    <w:pPr>
      <w:ind w:left="420" w:firstLine="420"/>
      <w:jc w:val="both"/>
      <w:spacing w:after="120" w:line="240" w:lineRule="auto"/>
      <w:widowControl w:val="off"/>
    </w:pPr>
    <w:rPr>
      <w:rFonts w:hint="default" w:ascii="Times New Roman" w:hAnsi="Times New Roman" w:eastAsia="宋体" w:cs="Times New Roman"/>
      <w:sz w:val="21"/>
      <w:szCs w:val="24"/>
      <w:lang w:val="en-US" w:eastAsia="zh-CN" w:bidi="ar-SA"/>
    </w:rPr>
  </w:style>
  <w:style w:type="paragraph" w:styleId="1148" w:customStyle="1">
    <w:name w:val="正文文本缩进1"/>
    <w:uiPriority w:val="0"/>
    <w:qFormat/>
    <w:pPr>
      <w:ind w:firstLine="420"/>
      <w:jc w:val="both"/>
      <w:spacing w:line="360" w:lineRule="auto"/>
      <w:widowControl w:val="off"/>
    </w:pPr>
    <w:rPr>
      <w:rFonts w:hint="default" w:ascii="宋体" w:hAnsi="宋体" w:eastAsia="宋体" w:cs="Times New Roman"/>
      <w:sz w:val="21"/>
      <w:szCs w:val="24"/>
      <w:lang w:val="en-US" w:eastAsia="en-US" w:bidi="ar-SA"/>
    </w:r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经办</cp:lastModifiedBy>
  <cp:revision>8</cp:revision>
  <dcterms:created xsi:type="dcterms:W3CDTF">2025-02-26T08:05:00Z</dcterms:created>
  <dcterms:modified xsi:type="dcterms:W3CDTF">2025-10-20T06:28:23Z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BD6AFA33CEE84699AC8C24D85928ADE9_13</vt:lpwstr>
  </property>
  <property fmtid="{D5CDD505-2E9C-101B-9397-08002B2CF9AE}" pid="4" name="KSOTemplateDocerSaveRecord">
    <vt:lpwstr>eyJoZGlkIjoiMDVhMTM5MTc0OGI0ZjRlZWEyNjM4ODljYzMyNmFhNjIiLCJ1c2VySWQiOiI2ODgxMzEwNzgifQ==</vt:lpwstr>
  </property>
</Properties>
</file>